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3864"/>
          <w:sz w:val="40"/>
          <w:szCs w:val="40"/>
        </w:rPr>
        <w:t xml:space="preserve">NutriSync — Proposal 32 v8</w:t>
      </w:r>
    </w:p>
    <w:p>
      <w:pPr>
        <w:spacing w:after="40"/>
      </w:pPr>
      <w:r>
        <w:rPr>
          <w:b/>
          <w:bCs/>
          <w:color w:val="444444"/>
          <w:sz w:val="30"/>
          <w:szCs w:val="30"/>
        </w:rPr>
        <w:t xml:space="preserve">Founder Decision Log</w:t>
      </w:r>
    </w:p>
    <w:p>
      <w:pPr>
        <w:spacing w:after="300"/>
      </w:pPr>
      <w:r>
        <w:rPr>
          <w:i/>
          <w:iCs/>
          <w:color w:val="666666"/>
          <w:sz w:val="20"/>
          <w:szCs w:val="20"/>
        </w:rPr>
        <w:t xml:space="preserve">Status: For founder markup · Date: 12 August 2026</w:t>
      </w:r>
    </w:p>
    <w:p>
      <w:pPr>
        <w:spacing w:after="100"/>
      </w:pPr>
      <w:r>
        <w:rPr>
          <w:sz w:val="20"/>
          <w:szCs w:val="20"/>
        </w:rPr>
        <w:t xml:space="preserve">How to use this document: work through each decision below. Check Agree or Disagree, and use the Notes column to capture any conditions, counter-proposals, or open questions. Decisions D30–D43 (Strava/Oura/other wearables) are not required to launch the Phase 1 pilot and can be deferred if time is short.</w:t>
      </w:r>
    </w:p>
    <w:p>
      <w:pPr>
        <w:spacing w:after="200"/>
      </w:pPr>
    </w:p>
    <w:p>
      <w:pPr>
        <w:pStyle w:val="Heading2"/>
        <w:spacing w:after="120" w:before="320"/>
      </w:pPr>
      <w:r>
        <w:rPr>
          <w:b/>
          <w:bCs/>
          <w:color w:val="1F3864"/>
        </w:rPr>
        <w:t xml:space="preserve">Carried Over From Earlier Proposals</w:t>
      </w:r>
    </w:p>
    <w:p>
      <w:pPr>
        <w:spacing w:after="160"/>
      </w:pPr>
      <w:r>
        <w:rPr>
          <w:i/>
          <w:iCs/>
          <w:color w:val="444444"/>
          <w:sz w:val="20"/>
          <w:szCs w:val="20"/>
        </w:rPr>
        <w:t xml:space="preserve">Decisions already made in v4. They stand unless explicitly revisited today.</w:t>
      </w:r>
    </w:p>
    <w:tbl>
      <w:tblPr>
        <w:tblW w:type="dxa" w:w="13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450"/>
        <w:gridCol w:w="3450"/>
        <w:gridCol w:w="950"/>
        <w:gridCol w:w="1050"/>
        <w:gridCol w:w="3500"/>
      </w:tblGrid>
      <w:tr>
        <w:trPr>
          <w:tblHeader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Decision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Recommended Choice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Agree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Disagree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/ Comments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D12–D27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Various v4 product, trust, AI, and roadmap decisions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Retain as previously approved unless explicitly superseded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2"/>
        <w:spacing w:after="120" w:before="320"/>
      </w:pPr>
      <w:r>
        <w:rPr>
          <w:b/>
          <w:bCs/>
          <w:color w:val="1F3864"/>
        </w:rPr>
        <w:t xml:space="preserve">Health Data Architecture — Core Structural Calls</w:t>
      </w:r>
    </w:p>
    <w:p>
      <w:pPr>
        <w:spacing w:after="160"/>
      </w:pPr>
      <w:r>
        <w:rPr>
          <w:i/>
          <w:iCs/>
          <w:color w:val="444444"/>
          <w:sz w:val="20"/>
          <w:szCs w:val="20"/>
        </w:rPr>
        <w:t xml:space="preserve">How NutriSync connects to health data at the platform level.</w:t>
      </w:r>
    </w:p>
    <w:tbl>
      <w:tblPr>
        <w:tblW w:type="dxa" w:w="13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450"/>
        <w:gridCol w:w="3450"/>
        <w:gridCol w:w="950"/>
        <w:gridCol w:w="1050"/>
        <w:gridCol w:w="3500"/>
      </w:tblGrid>
      <w:tr>
        <w:trPr>
          <w:tblHeader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Decision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Recommended Choice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Agree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Disagree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/ Comments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D28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do we plumb in health data?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Apple HealthKit + Android Health Connect as the default integration route, not brand-specific integrations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D29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When do we build a direct connector (Garmin, WHOOP, etc.)?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Only when it gives us something HealthKit/Health Connect can't provide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D37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Can any single connector become mandatory infrastructure?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No — every connector must be independently removable without breaking the app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D38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often do we check if a vendor changed their terms on us?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Quarterly, plus event-driven review whenever a change is known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2"/>
        <w:spacing w:after="120" w:before="320"/>
      </w:pPr>
      <w:r>
        <w:rPr>
          <w:b/>
          <w:bCs/>
          <w:color w:val="1F3864"/>
        </w:rPr>
        <w:t xml:space="preserve">Strava — Specifically Risky</w:t>
      </w:r>
    </w:p>
    <w:p>
      <w:pPr>
        <w:spacing w:after="160"/>
      </w:pPr>
      <w:r>
        <w:rPr>
          <w:i/>
          <w:iCs/>
          <w:color w:val="444444"/>
          <w:sz w:val="20"/>
          <w:szCs w:val="20"/>
        </w:rPr>
        <w:t xml:space="preserve">Strava's current API terms restrict AI/analytics use, so it needs its own guardrails.</w:t>
      </w:r>
    </w:p>
    <w:tbl>
      <w:tblPr>
        <w:tblW w:type="dxa" w:w="13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450"/>
        <w:gridCol w:w="3450"/>
        <w:gridCol w:w="950"/>
        <w:gridCol w:w="1050"/>
        <w:gridCol w:w="3500"/>
      </w:tblGrid>
      <w:tr>
        <w:trPr>
          <w:tblHeader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Decision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Recommended Choice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Agree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Disagree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/ Comments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D30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Do we depend on Strava for anything core?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No — no core dependency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D31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Can Strava data touch our AI or cross-domain analytics?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No — prohibited while current policy terms apply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2"/>
        <w:spacing w:after="120" w:before="320"/>
      </w:pPr>
      <w:r>
        <w:rPr>
          <w:b/>
          <w:bCs/>
          <w:color w:val="1F3864"/>
        </w:rPr>
        <w:t xml:space="preserve">Provenance &amp; Policy Enforcement</w:t>
      </w:r>
    </w:p>
    <w:p>
      <w:pPr>
        <w:spacing w:after="160"/>
      </w:pPr>
      <w:r>
        <w:rPr>
          <w:i/>
          <w:iCs/>
          <w:color w:val="444444"/>
          <w:sz w:val="20"/>
          <w:szCs w:val="20"/>
        </w:rPr>
        <w:t xml:space="preserve">How we make sure every piece of imported data is tracked and used correctly.</w:t>
      </w:r>
    </w:p>
    <w:tbl>
      <w:tblPr>
        <w:tblW w:type="dxa" w:w="13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450"/>
        <w:gridCol w:w="3450"/>
        <w:gridCol w:w="950"/>
        <w:gridCol w:w="1050"/>
        <w:gridCol w:w="3500"/>
      </w:tblGrid>
      <w:tr>
        <w:trPr>
          <w:tblHeader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Decision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Recommended Choice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Agree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Disagree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/ Comments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D32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Do we track where every piece of data came from?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Yes — mandatory provenance on every imported/derived signal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D33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do we stop engineers from accidentally violating a vendor's terms?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Enforce as a machine-readable policy registry, not just a documented rule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2"/>
        <w:spacing w:after="120" w:before="320"/>
      </w:pPr>
      <w:r>
        <w:rPr>
          <w:b/>
          <w:bCs/>
          <w:color w:val="1F3864"/>
        </w:rPr>
        <w:t xml:space="preserve">Oura — Treated as a Special, High-Value Case</w:t>
      </w:r>
    </w:p>
    <w:p>
      <w:pPr>
        <w:spacing w:after="160"/>
      </w:pPr>
      <w:r>
        <w:rPr>
          <w:i/>
          <w:iCs/>
          <w:color w:val="444444"/>
          <w:sz w:val="20"/>
          <w:szCs w:val="20"/>
        </w:rPr>
        <w:t xml:space="preserve">Oura is prioritized as the first specialist wearable, with strict AI-use limits per its API/MCP agreement.</w:t>
      </w:r>
    </w:p>
    <w:tbl>
      <w:tblPr>
        <w:tblW w:type="dxa" w:w="13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450"/>
        <w:gridCol w:w="3450"/>
        <w:gridCol w:w="950"/>
        <w:gridCol w:w="1050"/>
        <w:gridCol w:w="3500"/>
      </w:tblGrid>
      <w:tr>
        <w:trPr>
          <w:tblHeader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Decision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Recommended Choice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Agree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Disagree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/ Comments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D34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Which wearable do we integrate directly first?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Oura Ring — after Oura app registration and subject to Spain pilot demand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D39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strategically important is Oura vs. other wearables?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Top-tier — Tier 1B strategic physiological wearable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D40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Can Oura's raw API data go straight into our AI/LLM?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No — must be technically blocked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D41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If we want AI features using Oura data, how?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Only through Oura's approved MCP pathway, for the authorised purpose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D42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Can we use Oura data to train or fine-tune our models?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No — prohibited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D43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Can we relabel Oura's proprietary scores as our own or as medical facts?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No — always shown as provider-attributed context, never a diagnosis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2"/>
        <w:spacing w:after="120" w:before="320"/>
      </w:pPr>
      <w:r>
        <w:rPr>
          <w:b/>
          <w:bCs/>
          <w:color w:val="1F3864"/>
        </w:rPr>
        <w:t xml:space="preserve">Other Wearables</w:t>
      </w:r>
    </w:p>
    <w:p>
      <w:pPr>
        <w:spacing w:after="160"/>
      </w:pPr>
      <w:r>
        <w:rPr>
          <w:i/>
          <w:iCs/>
          <w:color w:val="444444"/>
          <w:sz w:val="20"/>
          <w:szCs w:val="20"/>
        </w:rPr>
        <w:t xml:space="preserve">Approach for Galaxy Watch, Fitbit, and Pixel Watch.</w:t>
      </w:r>
    </w:p>
    <w:tbl>
      <w:tblPr>
        <w:tblW w:type="dxa" w:w="13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450"/>
        <w:gridCol w:w="3450"/>
        <w:gridCol w:w="950"/>
        <w:gridCol w:w="1050"/>
        <w:gridCol w:w="3500"/>
      </w:tblGrid>
      <w:tr>
        <w:trPr>
          <w:tblHeader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Decision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Recommended Choice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Agree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Disagree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/ Comments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D35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do we support Galaxy Watch?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Via Health Connect first; direct Samsung SDK only later and only for unique gaps, after partnership approval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D36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do we support Fitbit / Pixel Watch?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Health Connect first; Google Health API only for justified gaps, with fresh Google consent (old Fitbit tokens don't transfer)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2"/>
        <w:spacing w:after="120" w:before="320"/>
      </w:pPr>
      <w:r>
        <w:rPr>
          <w:b/>
          <w:bCs/>
          <w:color w:val="1F3864"/>
        </w:rPr>
        <w:t xml:space="preserve">Spain Market Strategy</w:t>
      </w:r>
    </w:p>
    <w:p>
      <w:pPr>
        <w:spacing w:after="160"/>
      </w:pPr>
      <w:r>
        <w:rPr>
          <w:i/>
          <w:iCs/>
          <w:color w:val="444444"/>
          <w:sz w:val="20"/>
          <w:szCs w:val="20"/>
        </w:rPr>
        <w:t xml:space="preserve">How we define, prioritize, and avoid over-claiming our target segments in Spain.</w:t>
      </w:r>
    </w:p>
    <w:tbl>
      <w:tblPr>
        <w:tblW w:type="dxa" w:w="13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450"/>
        <w:gridCol w:w="3450"/>
        <w:gridCol w:w="950"/>
        <w:gridCol w:w="1050"/>
        <w:gridCol w:w="3500"/>
      </w:tblGrid>
      <w:tr>
        <w:trPr>
          <w:tblHeader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Decision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Recommended Choice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Agree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Disagree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/ Comments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D44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do we use “generation” (Gen Z, Millennial, etc.) in planning?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Only as a labelled internal planning overlay derived from INE ages — not an official demographic category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D45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Who is our #1 target audience for acquisition?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Women 25–44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D46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Who is our second core audience?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Women 40–55 (midlife) — a co-primary differentiator, not a later expansion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D47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What do we do with adult Gen Z (18–29)?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Freemium/acquisition cohort with a full non-wearable path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D48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do we handle families/kids?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Adult/guardian-managed account; no direct profiling of children by default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D49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do we define “affluent” or “premium” users?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Explicit equivalised-income or observed willingness-to-pay criteria; never inferred from device or postcode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2"/>
        <w:spacing w:after="120" w:before="320"/>
      </w:pPr>
      <w:r>
        <w:rPr>
          <w:b/>
          <w:bCs/>
          <w:color w:val="1F3864"/>
        </w:rPr>
        <w:t xml:space="preserve">Platform &amp; Rollout</w:t>
      </w:r>
    </w:p>
    <w:p>
      <w:pPr>
        <w:spacing w:after="160"/>
      </w:pPr>
      <w:r>
        <w:rPr>
          <w:i/>
          <w:iCs/>
          <w:color w:val="444444"/>
          <w:sz w:val="20"/>
          <w:szCs w:val="20"/>
        </w:rPr>
        <w:t xml:space="preserve">How we sequence and measure the Spain launch itself.</w:t>
      </w:r>
    </w:p>
    <w:tbl>
      <w:tblPr>
        <w:tblW w:type="dxa" w:w="13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450"/>
        <w:gridCol w:w="3450"/>
        <w:gridCol w:w="950"/>
        <w:gridCol w:w="1050"/>
        <w:gridCol w:w="3500"/>
      </w:tblGrid>
      <w:tr>
        <w:trPr>
          <w:tblHeader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Decision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Recommended Choice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Agree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Disagree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/ Comments</w:t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D50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Do we prioritize iOS or Android?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Neither — first-class support for both from day one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D51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big is the Spain market opportunity?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Do not multiply overlapping marginal percentages into a single inflated TAM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D52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do we structure the pilot test group?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Quota-based sample across life stage, platform, wearable access, household, geography, and price sensitivity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D53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How often do we refresh our Spain market data?</w:t>
            </w:r>
          </w:p>
        </w:tc>
        <w:tc>
          <w:tcPr>
            <w:tcW w:type="dxa" w:w="34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Quarterly for fast-changing evidence (digital/platform/provider); annual or release-driven for official demographics/income</w:t>
            </w:r>
          </w:p>
        </w:tc>
        <w:tc>
          <w:tcPr>
            <w:tcW w:type="dxa" w:w="9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105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sectPr>
      <w:headerReference w:type="default" r:id="rId7"/>
      <w:footerReference w:type="default" r:id="rId8"/>
      <w:pgSz w:w="12240" w:h="15840" w:orient="landscape"/>
      <w:pgMar w:top="720" w:right="6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99999"/>
        <w:sz w:val="16"/>
        <w:szCs w:val="16"/>
      </w:rPr>
      <w:t xml:space="preserve">Page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99999"/>
        <w:sz w:val="16"/>
        <w:szCs w:val="16"/>
      </w:rPr>
      <w:t xml:space="preserve">NutriSync · 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2026-08-13T01:56:11.213Z</dcterms:created>
  <dcterms:modified xsi:type="dcterms:W3CDTF">2026-08-13T01:56:11.213Z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