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keepLines w:val="0"/>
        <w:spacing w:before="100" w:after="80" w:line="240" w:lineRule="auto"/>
      </w:pPr>
      <w:r>
        <w:rPr>
          <w:rFonts w:ascii="Inter Display" w:hAnsi="Inter Display" w:eastAsia="Inter Display"/>
          <w:b/>
          <w:color w:val="C94334"/>
          <w:sz w:val="24"/>
        </w:rPr>
        <w:t>NUTRISYNC</w:t>
      </w:r>
    </w:p>
    <w:p>
      <w:pPr>
        <w:pStyle w:val="Title"/>
        <w:keepNext w:val="0"/>
        <w:keepLines w:val="0"/>
        <w:spacing w:before="240" w:after="100" w:line="228" w:lineRule="auto"/>
      </w:pPr>
      <w:r>
        <w:rPr>
          <w:rFonts w:ascii="Inter Display" w:hAnsi="Inter Display" w:eastAsia="Inter Display"/>
          <w:b/>
          <w:color w:val="231F20"/>
          <w:sz w:val="58"/>
        </w:rPr>
        <w:t>Competitive Landscape</w:t>
        <w:br/>
        <w:t>and Capability Analysis</w:t>
      </w:r>
    </w:p>
    <w:p>
      <w:pPr>
        <w:pStyle w:val="Subtitle"/>
        <w:keepNext w:val="0"/>
        <w:keepLines w:val="0"/>
        <w:spacing w:before="0" w:after="320" w:line="264" w:lineRule="auto"/>
      </w:pPr>
      <w:r>
        <w:rPr>
          <w:rFonts w:ascii="Inter" w:hAnsi="Inter" w:eastAsia="Inter"/>
          <w:b w:val="0"/>
          <w:color w:val="6E6E6E"/>
          <w:sz w:val="24"/>
        </w:rPr>
        <w:t>Reconstructed from the source capability slide and expanded with current competitor evidence, AI meal-logging updates and a Supabase / React Native technical concept</w:t>
      </w:r>
    </w:p>
    <w:tbl>
      <w:tblPr>
        <w:tblW w:type="auto" w:w="0"/>
        <w:jc w:val="left"/>
        <w:tblLayout w:type="fixed"/>
        <w:tblLook w:firstColumn="1" w:firstRow="1" w:lastColumn="0" w:lastRow="0" w:noHBand="0" w:noVBand="1" w:val="04A0"/>
      </w:tblPr>
      <w:tblGrid>
        <w:gridCol w:w="4961"/>
        <w:gridCol w:w="4961"/>
      </w:tblGrid>
      <w:tr>
        <w:trPr>
          <w:cantSplit/>
        </w:trPr>
        <w:tc>
          <w:tcPr>
            <w:tcW w:type="dxa" w:w="1814"/>
            <w:shd w:fill="FCE4DF"/>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color w:val="C94334"/>
                <w:sz w:val="17"/>
              </w:rPr>
              <w:t>SCOPE</w:t>
            </w:r>
          </w:p>
        </w:tc>
        <w:tc>
          <w:tcPr>
            <w:tcW w:type="dxa" w:w="7370"/>
            <w:shd w:fill="FBF8F3"/>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val="0"/>
                <w:color w:val="2B2B2B"/>
                <w:sz w:val="17"/>
              </w:rPr>
              <w:t>Period tracking, cycle-based wellness, female performance, hormone intelligence, AI meal logging and nutrition intelligence</w:t>
            </w:r>
          </w:p>
        </w:tc>
      </w:tr>
      <w:tr>
        <w:trPr>
          <w:cantSplit/>
        </w:trPr>
        <w:tc>
          <w:tcPr>
            <w:tcW w:type="dxa" w:w="1814"/>
            <w:shd w:fill="FCE4DF"/>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color w:val="C94334"/>
                <w:sz w:val="17"/>
              </w:rPr>
              <w:t>STATUS</w:t>
            </w:r>
          </w:p>
        </w:tc>
        <w:tc>
          <w:tcPr>
            <w:tcW w:type="dxa" w:w="7370"/>
            <w:shd w:fill="FBF8F3"/>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val="0"/>
                <w:color w:val="2B2B2B"/>
                <w:sz w:val="17"/>
              </w:rPr>
              <w:t>Version 1.1 strategic report - public evidence reviewed as of 9 August 2026</w:t>
            </w:r>
          </w:p>
        </w:tc>
      </w:tr>
      <w:tr>
        <w:trPr>
          <w:cantSplit/>
        </w:trPr>
        <w:tc>
          <w:tcPr>
            <w:tcW w:type="dxa" w:w="1814"/>
            <w:shd w:fill="FCE4DF"/>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color w:val="C94334"/>
                <w:sz w:val="17"/>
              </w:rPr>
              <w:t>DECISION USE</w:t>
            </w:r>
          </w:p>
        </w:tc>
        <w:tc>
          <w:tcPr>
            <w:tcW w:type="dxa" w:w="7370"/>
            <w:shd w:fill="FBF8F3"/>
            <w:tcMar>
              <w:top w:w="100" w:type="dxa"/>
              <w:start w:w="110" w:type="dxa"/>
              <w:bottom w:w="100" w:type="dxa"/>
              <w:end w:w="110" w:type="dxa"/>
            </w:tcMar>
            <w:tcBorders>
              <w:top w:val="single" w:sz="3" w:color="E9E7E4"/>
              <w:start w:val="single" w:sz="3" w:color="E9E7E4"/>
              <w:bottom w:val="single" w:sz="3" w:color="E9E7E4"/>
              <w:end w:val="single" w:sz="3" w:color="E9E7E4"/>
            </w:tcBorders>
          </w:tcPr>
          <w:p>
            <w:pPr>
              <w:keepNext w:val="0"/>
              <w:spacing w:before="0" w:after="0" w:line="240" w:lineRule="auto"/>
            </w:pPr>
            <w:r>
              <w:rPr>
                <w:rFonts w:ascii="Inter" w:hAnsi="Inter" w:eastAsia="Inter"/>
                <w:b w:val="0"/>
                <w:color w:val="2B2B2B"/>
                <w:sz w:val="17"/>
              </w:rPr>
              <w:t>Investor positioning, product strategy, claim governance, pilot evidence priorities and technical concept</w:t>
            </w:r>
          </w:p>
        </w:tc>
      </w:tr>
    </w:tbl>
    <w:p>
      <w:pPr>
        <w:keepNext w:val="0"/>
        <w:spacing w:before="20" w:after="140" w:line="240" w:lineRule="auto"/>
        <w:jc w:val="center"/>
      </w:pPr>
      <w:r>
        <w:rPr>
          <w:rFonts w:ascii="Inter" w:hAnsi="Inter" w:eastAsia="Inter"/>
          <w:b/>
          <w:color w:val="C94334"/>
          <w:sz w:val="17"/>
        </w:rPr>
        <w:t>VERSION 1.1  |  AI MEAL LOGGING + TECHNICAL CONCEPT UPDATE</w:t>
      </w:r>
    </w:p>
    <w:p>
      <w:pPr>
        <w:keepNext w:val="0"/>
        <w:keepLines w:val="0"/>
        <w:spacing w:before="160" w:after="0" w:line="240" w:lineRule="auto"/>
      </w:pPr>
      <w:r>
        <w:rPr>
          <w:rFonts w:ascii="Inter" w:hAnsi="Inter" w:eastAsia="Inter"/>
          <w:b/>
          <w:color w:val="231F20"/>
          <w:sz w:val="18"/>
        </w:rPr>
        <w:t>Prepared for NutriSync Collective</w:t>
      </w:r>
    </w:p>
    <w:p>
      <w:pPr>
        <w:keepNext w:val="0"/>
        <w:keepLines w:val="0"/>
        <w:spacing w:before="0" w:after="0" w:line="240" w:lineRule="auto"/>
      </w:pPr>
      <w:r>
        <w:rPr>
          <w:rFonts w:ascii="Inter" w:hAnsi="Inter" w:eastAsia="Inter"/>
          <w:color w:val="6E6E6E"/>
          <w:sz w:val="18"/>
        </w:rPr>
        <w:t>9 August 2026</w:t>
      </w:r>
    </w:p>
    <w:p>
      <w:pPr>
        <w:sectPr>
          <w:headerReference w:type="default" r:id="rId9"/>
          <w:footerReference w:type="default" r:id="rId10"/>
          <w:pgSz w:w="11906" w:h="16838"/>
          <w:pgMar w:top="935" w:right="992" w:bottom="879" w:left="992" w:header="369" w:footer="369" w:gutter="0"/>
          <w:cols w:space="720"/>
          <w:docGrid w:linePitch="360"/>
        </w:sectPr>
      </w:pP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00</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Report basis and contents</w:t>
            </w:r>
          </w:p>
          <w:p>
            <w:pPr>
              <w:keepNext w:val="0"/>
              <w:keepLines w:val="0"/>
              <w:spacing w:before="0" w:after="0" w:line="245" w:lineRule="auto"/>
            </w:pPr>
            <w:r>
              <w:rPr>
                <w:rFonts w:ascii="Inter" w:hAnsi="Inter" w:eastAsia="Inter"/>
                <w:color w:val="6E6E6E"/>
                <w:sz w:val="18"/>
              </w:rPr>
              <w:t>What has been reconstructed, what has been independently checked, and how to read the findings.</w:t>
            </w:r>
          </w:p>
        </w:tc>
      </w:tr>
    </w:tbl>
    <w:p>
      <w:pPr>
        <w:spacing w:after="0"/>
      </w:pPr>
    </w:p>
    <w:p>
      <w:pPr>
        <w:pStyle w:val="Heading2"/>
      </w:pPr>
      <w:r>
        <w:t>Document basis</w:t>
      </w:r>
    </w:p>
    <w:p>
      <w:pPr>
        <w:keepNext w:val="0"/>
        <w:keepLines w:val="0"/>
        <w:spacing w:before="0" w:after="120" w:line="269" w:lineRule="auto"/>
      </w:pPr>
      <w:r>
        <w:rPr>
          <w:rFonts w:ascii="Inter" w:hAnsi="Inter" w:eastAsia="Inter"/>
          <w:b w:val="0"/>
          <w:color w:val="2B2B2B"/>
          <w:sz w:val="20"/>
        </w:rPr>
        <w:t>This report reconstructs the competitor set and capability logic from the NutriSync capability-analysis slide, expands it with the August 2026 innovation work, and now adds a Version 1.1 update covering AI photo meal logging, structured nutrition intelligence and a practical Supabase / React Native implementation concept. It separates the strategic proposition, current product maturity, technical feasibility and strength of supporting evidence. [I1-I6; U1-U5; T1-T5]</w:t>
      </w:r>
    </w:p>
    <w:tbl>
      <w:tblPr>
        <w:tblW w:type="auto" w:w="0"/>
        <w:jc w:val="center"/>
        <w:tblLayout w:type="fixed"/>
        <w:tblLook w:firstColumn="1" w:firstRow="1" w:lastColumn="0" w:lastRow="0" w:noHBand="0" w:noVBand="1" w:val="04A0"/>
      </w:tblPr>
      <w:tblGrid>
        <w:gridCol w:w="255"/>
        <w:gridCol w:w="9184"/>
      </w:tblGrid>
      <w:tr>
        <w:tc>
          <w:tcPr>
            <w:tcW w:type="dxa" w:w="4961"/>
            <w:shd w:fill="E6A25A"/>
            <w:tcMar>
              <w:top w:w="120" w:type="dxa"/>
              <w:start w:w="110" w:type="dxa"/>
              <w:bottom w:w="120" w:type="dxa"/>
              <w:end w:w="110" w:type="dxa"/>
            </w:tcMar>
            <w:tcBorders>
              <w:top w:val="nil"/>
              <w:start w:val="nil"/>
              <w:bottom w:val="nil"/>
              <w:end w:val="nil"/>
            </w:tcBorders>
            <w:vAlign w:val="center"/>
          </w:tcPr>
          <w:p/>
        </w:tc>
        <w:tc>
          <w:tcPr>
            <w:tcW w:type="dxa" w:w="4961"/>
            <w:shd w:fill="F7EBD9"/>
            <w:tcMar>
              <w:top w:w="120" w:type="dxa"/>
              <w:start w:w="110" w:type="dxa"/>
              <w:bottom w:w="120" w:type="dxa"/>
              <w:end w:w="110" w:type="dxa"/>
            </w:tcMar>
            <w:tcBorders>
              <w:top w:val="nil"/>
              <w:start w:val="nil"/>
              <w:bottom w:val="nil"/>
              <w:end w:val="nil"/>
            </w:tcBorders>
            <w:vAlign w:val="center"/>
          </w:tcPr>
          <w:p>
            <w:pPr>
              <w:keepNext w:val="0"/>
              <w:keepLines w:val="0"/>
              <w:spacing w:before="0" w:after="40" w:line="240" w:lineRule="auto"/>
            </w:pPr>
            <w:r>
              <w:rPr>
                <w:rFonts w:ascii="Inter Display" w:hAnsi="Inter Display" w:eastAsia="Inter Display"/>
                <w:b/>
                <w:color w:val="E6A25A"/>
                <w:sz w:val="22"/>
              </w:rPr>
              <w:t>Important interpretation rule</w:t>
            </w:r>
          </w:p>
          <w:p>
            <w:pPr>
              <w:keepNext w:val="0"/>
              <w:keepLines w:val="0"/>
              <w:spacing w:before="0" w:after="0" w:line="259" w:lineRule="auto"/>
            </w:pPr>
            <w:r>
              <w:rPr>
                <w:rFonts w:ascii="Inter" w:hAnsi="Inter" w:eastAsia="Inter"/>
                <w:color w:val="2B2B2B"/>
                <w:sz w:val="19"/>
              </w:rPr>
              <w:t>A capability marked as present means it is publicly evidenced or internally documented. It does not mean the capability is clinically validated, equally mature across companies, or proven to create better outcomes.</w:t>
            </w:r>
          </w:p>
        </w:tc>
      </w:tr>
    </w:tbl>
    <w:p>
      <w:pPr>
        <w:spacing w:after="20"/>
      </w:pPr>
    </w:p>
    <w:p>
      <w:pPr>
        <w:pStyle w:val="Heading2"/>
      </w:pPr>
      <w:r>
        <w:t>Contents</w:t>
      </w:r>
    </w:p>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01</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Executive conclusions</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What matters for positioning and investor messaging.</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02</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Source-slide reconstruction</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Competitors shown by logo and the original capability taxonomy.</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03</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Competitive landscape</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Market clusters and the expanded watchlist.</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04</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Capability benchmark</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Like-for-like public-evidence matrix.</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05</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NutriSync current vs target</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What is live, pilot, roadmap or still a hypothesis.</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06</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Defensible differentiation</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The segment-of-one action-response learning thesis.</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07</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Revised investor slide</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Recommended message and capability architecture.</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08</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Evidence and execution roadmap</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Metrics, proof points and sequencing.</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09</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Competitor profiles</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Concise evidence-based company cards.</w:t>
            </w:r>
          </w:p>
        </w:tc>
      </w:tr>
    </w:tbl>
    <w:tbl>
      <w:tblPr>
        <w:tblW w:type="auto" w:w="0"/>
        <w:jc w:val="center"/>
        <w:tblLayout w:type="fixed"/>
        <w:tblLook w:firstColumn="1" w:firstRow="1" w:lastColumn="0" w:lastRow="0" w:noHBand="0" w:noVBand="1" w:val="04A0"/>
      </w:tblPr>
      <w:tblGrid>
        <w:gridCol w:w="3307"/>
        <w:gridCol w:w="3307"/>
        <w:gridCol w:w="3307"/>
      </w:tblGrid>
      <w:tr>
        <w:tc>
          <w:tcPr>
            <w:tcW w:type="dxa" w:w="737"/>
            <w:tcMar>
              <w:top w:w="65" w:type="dxa"/>
              <w:start w:w="85" w:type="dxa"/>
              <w:bottom w:w="65" w:type="dxa"/>
              <w:end w:w="85" w:type="dxa"/>
            </w:tcMar>
            <w:tcBorders>
              <w:top w:val="nil"/>
              <w:start w:val="nil"/>
              <w:bottom w:val="single" w:sz="3" w:color="E9E7E4"/>
              <w:end w:val="nil"/>
            </w:tcBorders>
          </w:tcPr>
          <w:p>
            <w:r>
              <w:rPr>
                <w:rFonts w:ascii="Inter Display" w:hAnsi="Inter Display" w:eastAsia="Inter Display"/>
                <w:b/>
                <w:color w:val="C94334"/>
                <w:sz w:val="20"/>
              </w:rPr>
              <w:t>10</w:t>
            </w:r>
          </w:p>
        </w:tc>
        <w:tc>
          <w:tcPr>
            <w:tcW w:type="dxa" w:w="2835"/>
            <w:tcMar>
              <w:top w:w="65" w:type="dxa"/>
              <w:start w:w="85" w:type="dxa"/>
              <w:bottom w:w="65" w:type="dxa"/>
              <w:end w:w="85" w:type="dxa"/>
            </w:tcMar>
            <w:tcBorders>
              <w:top w:val="nil"/>
              <w:start w:val="nil"/>
              <w:bottom w:val="single" w:sz="3" w:color="E9E7E4"/>
              <w:end w:val="nil"/>
            </w:tcBorders>
          </w:tcPr>
          <w:p>
            <w:r>
              <w:rPr>
                <w:rFonts w:ascii="Inter" w:hAnsi="Inter" w:eastAsia="Inter"/>
                <w:b/>
                <w:color w:val="2B2B2B"/>
                <w:sz w:val="18"/>
              </w:rPr>
              <w:t>Sources and limitations</w:t>
            </w:r>
          </w:p>
        </w:tc>
        <w:tc>
          <w:tcPr>
            <w:tcW w:type="dxa" w:w="5783"/>
            <w:tcMar>
              <w:top w:w="65" w:type="dxa"/>
              <w:start w:w="85" w:type="dxa"/>
              <w:bottom w:w="65" w:type="dxa"/>
              <w:end w:w="85" w:type="dxa"/>
            </w:tcMar>
            <w:tcBorders>
              <w:top w:val="nil"/>
              <w:start w:val="nil"/>
              <w:bottom w:val="single" w:sz="3" w:color="E9E7E4"/>
              <w:end w:val="nil"/>
            </w:tcBorders>
          </w:tcPr>
          <w:p>
            <w:r>
              <w:rPr>
                <w:rFonts w:ascii="Inter" w:hAnsi="Inter" w:eastAsia="Inter"/>
                <w:color w:val="6E6E6E"/>
                <w:sz w:val="17"/>
              </w:rPr>
              <w:t>Internal documents, official competitor sources and research.</w:t>
            </w:r>
          </w:p>
        </w:tc>
      </w:tr>
    </w:tbl>
    <w:p>
      <w:pPr>
        <w:keepNext w:val="0"/>
        <w:spacing w:before="40" w:after="100" w:line="240" w:lineRule="auto"/>
      </w:pPr>
      <w:r>
        <w:rPr>
          <w:rFonts w:ascii="Inter" w:hAnsi="Inter" w:eastAsia="Inter"/>
          <w:b/>
          <w:color w:val="C94334"/>
          <w:sz w:val="16"/>
        </w:rPr>
        <w:t>Version 1.1 addendum: Sections 11-13 add the AI meal-logging competitor update, revised capability matrices, the Supabase / React Native architecture concept and updated official sources.</w:t>
      </w:r>
    </w:p>
    <w:p>
      <w:pPr>
        <w:pStyle w:val="Heading2"/>
      </w:pPr>
      <w:r>
        <w:t>Assessment method</w:t>
      </w:r>
    </w:p>
    <w:p>
      <w:pPr>
        <w:pStyle w:val="ListBullet"/>
        <w:keepNext w:val="0"/>
        <w:keepLines w:val="0"/>
        <w:spacing w:before="0" w:after="60" w:line="259" w:lineRule="auto"/>
      </w:pPr>
      <w:r>
        <w:rPr>
          <w:rFonts w:ascii="Inter" w:hAnsi="Inter" w:eastAsia="Inter"/>
          <w:color w:val="2B2B2B"/>
          <w:sz w:val="19"/>
        </w:rPr>
        <w:t>Public competitor claims were checked primarily against official product, privacy, professional, employer and wearable pages; marketing claims are treated as claims unless independent evidence is cited.</w:t>
      </w:r>
    </w:p>
    <w:p>
      <w:pPr>
        <w:pStyle w:val="ListBullet"/>
        <w:keepNext w:val="0"/>
        <w:keepLines w:val="0"/>
        <w:spacing w:before="0" w:after="60" w:line="259" w:lineRule="auto"/>
      </w:pPr>
      <w:r>
        <w:rPr>
          <w:rFonts w:ascii="Inter" w:hAnsi="Inter" w:eastAsia="Inter"/>
          <w:color w:val="2B2B2B"/>
          <w:sz w:val="19"/>
        </w:rPr>
        <w:t>The capability matrix uses C = central and operational, P = present but partial, A = adjacent or indirect, - = not publicly evidenced, and R = roadmap.</w:t>
      </w:r>
    </w:p>
    <w:p>
      <w:pPr>
        <w:pStyle w:val="ListBullet"/>
        <w:keepNext w:val="0"/>
        <w:keepLines w:val="0"/>
        <w:spacing w:before="0" w:after="60" w:line="259" w:lineRule="auto"/>
      </w:pPr>
      <w:r>
        <w:rPr>
          <w:rFonts w:ascii="Inter" w:hAnsi="Inter" w:eastAsia="Inter"/>
          <w:color w:val="2B2B2B"/>
          <w:sz w:val="19"/>
        </w:rPr>
        <w:t>Absence of public evidence is not proof that a capability does not exist. It means the capability should not be asserted in an investor comparison without further verification.</w:t>
      </w:r>
    </w:p>
    <w:p>
      <w:pPr>
        <w:pStyle w:val="ListBullet"/>
        <w:keepNext w:val="0"/>
        <w:keepLines w:val="0"/>
        <w:spacing w:before="0" w:after="60" w:line="259" w:lineRule="auto"/>
      </w:pPr>
      <w:r>
        <w:rPr>
          <w:rFonts w:ascii="Inter" w:hAnsi="Inter" w:eastAsia="Inter"/>
          <w:color w:val="2B2B2B"/>
          <w:sz w:val="19"/>
        </w:rPr>
        <w:t>NutriSync maturity reflects supplied decks, prototype descriptions and legal/technical review documents; it is not a production audit or clinical validation.</w:t>
      </w: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01</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Executive conclusions</w:t>
            </w:r>
          </w:p>
          <w:p>
            <w:pPr>
              <w:keepNext w:val="0"/>
              <w:keepLines w:val="0"/>
              <w:spacing w:before="0" w:after="0" w:line="245" w:lineRule="auto"/>
            </w:pPr>
            <w:r>
              <w:rPr>
                <w:rFonts w:ascii="Inter" w:hAnsi="Inter" w:eastAsia="Inter"/>
                <w:color w:val="6E6E6E"/>
                <w:sz w:val="18"/>
              </w:rPr>
              <w:t>The source slide is directionally useful, but the market has moved and the differentiation needs to be stated more precisely.</w:t>
            </w:r>
          </w:p>
        </w:tc>
      </w:tr>
    </w:tbl>
    <w:p>
      <w:pPr>
        <w:spacing w:after="0"/>
      </w:pPr>
    </w:p>
    <w:p>
      <w:pPr>
        <w:pStyle w:val="Heading2"/>
      </w:pPr>
      <w:r>
        <w:t>The five conclusions</w:t>
      </w:r>
    </w:p>
    <w:tbl>
      <w:tblPr>
        <w:tblW w:type="auto" w:w="0"/>
        <w:jc w:val="center"/>
        <w:tblLayout w:type="fixed"/>
        <w:tblLook w:firstColumn="1" w:firstRow="1" w:lastColumn="0" w:lastRow="0" w:noHBand="0" w:noVBand="1" w:val="04A0"/>
      </w:tblPr>
      <w:tblGrid>
        <w:gridCol w:w="4961"/>
        <w:gridCol w:w="4961"/>
      </w:tblGrid>
      <w:tr>
        <w:tc>
          <w:tcPr>
            <w:tcW w:type="dxa" w:w="624"/>
            <w:shd w:fill="EE5C4A"/>
            <w:tcMar>
              <w:top w:w="100" w:type="dxa"/>
              <w:start w:w="100" w:type="dxa"/>
              <w:bottom w:w="100" w:type="dxa"/>
              <w:end w:w="100" w:type="dxa"/>
            </w:tcMar>
            <w:tcBorders>
              <w:top w:val="nil"/>
              <w:start w:val="nil"/>
              <w:bottom w:val="nil"/>
              <w:end w:val="nil"/>
            </w:tcBorders>
          </w:tcPr>
          <w:p>
            <w:pPr>
              <w:jc w:val="center"/>
            </w:pPr>
            <w:r>
              <w:rPr>
                <w:rFonts w:ascii="Inter Display" w:hAnsi="Inter Display" w:eastAsia="Inter Display"/>
                <w:b/>
                <w:color w:val="FFFFFF"/>
                <w:sz w:val="32"/>
              </w:rPr>
              <w:t>1</w:t>
            </w:r>
          </w:p>
        </w:tc>
        <w:tc>
          <w:tcPr>
            <w:tcW w:type="dxa" w:w="8731"/>
            <w:shd w:fill="F6F4F1"/>
            <w:tcMar>
              <w:top w:w="100" w:type="dxa"/>
              <w:start w:w="100" w:type="dxa"/>
              <w:bottom w:w="100" w:type="dxa"/>
              <w:end w:w="100" w:type="dxa"/>
            </w:tcMar>
            <w:tcBorders>
              <w:top w:val="nil"/>
              <w:start w:val="nil"/>
              <w:bottom w:val="nil"/>
              <w:end w:val="nil"/>
            </w:tcBorders>
          </w:tcPr>
          <w:p>
            <w:r>
              <w:rPr>
                <w:rFonts w:ascii="Inter Display" w:hAnsi="Inter Display" w:eastAsia="Inter Display"/>
                <w:b/>
                <w:color w:val="231F20"/>
                <w:sz w:val="21"/>
              </w:rPr>
              <w:t>The original competitor set can be reconstructed.</w:t>
            </w:r>
          </w:p>
          <w:p>
            <w:pPr>
              <w:keepNext w:val="0"/>
              <w:keepLines w:val="0"/>
              <w:spacing w:before="0" w:after="0" w:line="257" w:lineRule="auto"/>
            </w:pPr>
            <w:r>
              <w:rPr>
                <w:rFonts w:ascii="Inter" w:hAnsi="Inter" w:eastAsia="Inter"/>
                <w:color w:val="2B2B2B"/>
                <w:sz w:val="18"/>
              </w:rPr>
              <w:t>The logo-based slide appears to show Flo, Clue and Lively as generic apps, and MyFLO/FLO Living, FitrWoman, 28 and Natural Cycles as additional-content competitors. Because the source uses logos rather than names, Lively and FitrWoman should be confirmed against the editable deck. [I1]</w:t>
            </w:r>
          </w:p>
        </w:tc>
      </w:tr>
    </w:tbl>
    <w:p>
      <w:pPr>
        <w:spacing w:after="0"/>
      </w:pPr>
    </w:p>
    <w:tbl>
      <w:tblPr>
        <w:tblW w:type="auto" w:w="0"/>
        <w:jc w:val="center"/>
        <w:tblLayout w:type="fixed"/>
        <w:tblLook w:firstColumn="1" w:firstRow="1" w:lastColumn="0" w:lastRow="0" w:noHBand="0" w:noVBand="1" w:val="04A0"/>
      </w:tblPr>
      <w:tblGrid>
        <w:gridCol w:w="4961"/>
        <w:gridCol w:w="4961"/>
      </w:tblGrid>
      <w:tr>
        <w:tc>
          <w:tcPr>
            <w:tcW w:type="dxa" w:w="624"/>
            <w:shd w:fill="EE5C4A"/>
            <w:tcMar>
              <w:top w:w="100" w:type="dxa"/>
              <w:start w:w="100" w:type="dxa"/>
              <w:bottom w:w="100" w:type="dxa"/>
              <w:end w:w="100" w:type="dxa"/>
            </w:tcMar>
            <w:tcBorders>
              <w:top w:val="nil"/>
              <w:start w:val="nil"/>
              <w:bottom w:val="nil"/>
              <w:end w:val="nil"/>
            </w:tcBorders>
          </w:tcPr>
          <w:p>
            <w:pPr>
              <w:jc w:val="center"/>
            </w:pPr>
            <w:r>
              <w:rPr>
                <w:rFonts w:ascii="Inter Display" w:hAnsi="Inter Display" w:eastAsia="Inter Display"/>
                <w:b/>
                <w:color w:val="FFFFFF"/>
                <w:sz w:val="32"/>
              </w:rPr>
              <w:t>2</w:t>
            </w:r>
          </w:p>
        </w:tc>
        <w:tc>
          <w:tcPr>
            <w:tcW w:type="dxa" w:w="8731"/>
            <w:shd w:fill="FBF8F3"/>
            <w:tcMar>
              <w:top w:w="100" w:type="dxa"/>
              <w:start w:w="100" w:type="dxa"/>
              <w:bottom w:w="100" w:type="dxa"/>
              <w:end w:w="100" w:type="dxa"/>
            </w:tcMar>
            <w:tcBorders>
              <w:top w:val="nil"/>
              <w:start w:val="nil"/>
              <w:bottom w:val="nil"/>
              <w:end w:val="nil"/>
            </w:tcBorders>
          </w:tcPr>
          <w:p>
            <w:r>
              <w:rPr>
                <w:rFonts w:ascii="Inter Display" w:hAnsi="Inter Display" w:eastAsia="Inter Display"/>
                <w:b/>
                <w:color w:val="231F20"/>
                <w:sz w:val="21"/>
              </w:rPr>
              <w:t>The source matrix now understates competitive overlap.</w:t>
            </w:r>
          </w:p>
          <w:p>
            <w:pPr>
              <w:keepNext w:val="0"/>
              <w:keepLines w:val="0"/>
              <w:spacing w:before="0" w:after="0" w:line="257" w:lineRule="auto"/>
            </w:pPr>
            <w:r>
              <w:rPr>
                <w:rFonts w:ascii="Inter" w:hAnsi="Inter" w:eastAsia="Inter"/>
                <w:color w:val="2B2B2B"/>
                <w:sz w:val="18"/>
              </w:rPr>
              <w:t>Integrated cycle, nutrition and movement guidance is already central to MyFLO, 28, Lively, Wild.AI and FitrWoman. Wild.AI, Lively and Hormona also market adaptive or AI-supported personalisation. Ovia is materially stronger in employer and care-team distribution than the source slide implies for the wider market. [E5-E18]</w:t>
            </w:r>
          </w:p>
        </w:tc>
      </w:tr>
    </w:tbl>
    <w:p>
      <w:pPr>
        <w:spacing w:after="0"/>
      </w:pPr>
    </w:p>
    <w:tbl>
      <w:tblPr>
        <w:tblW w:type="auto" w:w="0"/>
        <w:jc w:val="center"/>
        <w:tblLayout w:type="fixed"/>
        <w:tblLook w:firstColumn="1" w:firstRow="1" w:lastColumn="0" w:lastRow="0" w:noHBand="0" w:noVBand="1" w:val="04A0"/>
      </w:tblPr>
      <w:tblGrid>
        <w:gridCol w:w="4961"/>
        <w:gridCol w:w="4961"/>
      </w:tblGrid>
      <w:tr>
        <w:tc>
          <w:tcPr>
            <w:tcW w:type="dxa" w:w="624"/>
            <w:shd w:fill="EE5C4A"/>
            <w:tcMar>
              <w:top w:w="100" w:type="dxa"/>
              <w:start w:w="100" w:type="dxa"/>
              <w:bottom w:w="100" w:type="dxa"/>
              <w:end w:w="100" w:type="dxa"/>
            </w:tcMar>
            <w:tcBorders>
              <w:top w:val="nil"/>
              <w:start w:val="nil"/>
              <w:bottom w:val="nil"/>
              <w:end w:val="nil"/>
            </w:tcBorders>
          </w:tcPr>
          <w:p>
            <w:pPr>
              <w:jc w:val="center"/>
            </w:pPr>
            <w:r>
              <w:rPr>
                <w:rFonts w:ascii="Inter Display" w:hAnsi="Inter Display" w:eastAsia="Inter Display"/>
                <w:b/>
                <w:color w:val="FFFFFF"/>
                <w:sz w:val="32"/>
              </w:rPr>
              <w:t>3</w:t>
            </w:r>
          </w:p>
        </w:tc>
        <w:tc>
          <w:tcPr>
            <w:tcW w:type="dxa" w:w="8731"/>
            <w:shd w:fill="F6F4F1"/>
            <w:tcMar>
              <w:top w:w="100" w:type="dxa"/>
              <w:start w:w="100" w:type="dxa"/>
              <w:bottom w:w="100" w:type="dxa"/>
              <w:end w:w="100" w:type="dxa"/>
            </w:tcMar>
            <w:tcBorders>
              <w:top w:val="nil"/>
              <w:start w:val="nil"/>
              <w:bottom w:val="nil"/>
              <w:end w:val="nil"/>
            </w:tcBorders>
          </w:tcPr>
          <w:p>
            <w:r>
              <w:rPr>
                <w:rFonts w:ascii="Inter Display" w:hAnsi="Inter Display" w:eastAsia="Inter Display"/>
                <w:b/>
                <w:color w:val="231F20"/>
                <w:sz w:val="21"/>
              </w:rPr>
              <w:t>Feature breadth is not a defensible moat by itself.</w:t>
            </w:r>
          </w:p>
          <w:p>
            <w:pPr>
              <w:keepNext w:val="0"/>
              <w:keepLines w:val="0"/>
              <w:spacing w:before="0" w:after="0" w:line="257" w:lineRule="auto"/>
            </w:pPr>
            <w:r>
              <w:rPr>
                <w:rFonts w:ascii="Inter" w:hAnsi="Inter" w:eastAsia="Inter"/>
                <w:color w:val="2B2B2B"/>
                <w:sz w:val="18"/>
              </w:rPr>
              <w:t>Cycle tracking, phase guidance, meal content, workouts, wearables, readiness scores and AI labels are all available in adjacent products. NutriSync should not claim uniqueness from the presence of these features. [I2; E1-E18]</w:t>
            </w:r>
          </w:p>
        </w:tc>
      </w:tr>
    </w:tbl>
    <w:p>
      <w:pPr>
        <w:spacing w:after="0"/>
      </w:pPr>
    </w:p>
    <w:tbl>
      <w:tblPr>
        <w:tblW w:type="auto" w:w="0"/>
        <w:jc w:val="center"/>
        <w:tblLayout w:type="fixed"/>
        <w:tblLook w:firstColumn="1" w:firstRow="1" w:lastColumn="0" w:lastRow="0" w:noHBand="0" w:noVBand="1" w:val="04A0"/>
      </w:tblPr>
      <w:tblGrid>
        <w:gridCol w:w="4961"/>
        <w:gridCol w:w="4961"/>
      </w:tblGrid>
      <w:tr>
        <w:tc>
          <w:tcPr>
            <w:tcW w:type="dxa" w:w="624"/>
            <w:shd w:fill="EE5C4A"/>
            <w:tcMar>
              <w:top w:w="100" w:type="dxa"/>
              <w:start w:w="100" w:type="dxa"/>
              <w:bottom w:w="100" w:type="dxa"/>
              <w:end w:w="100" w:type="dxa"/>
            </w:tcMar>
            <w:tcBorders>
              <w:top w:val="nil"/>
              <w:start w:val="nil"/>
              <w:bottom w:val="nil"/>
              <w:end w:val="nil"/>
            </w:tcBorders>
          </w:tcPr>
          <w:p>
            <w:pPr>
              <w:jc w:val="center"/>
            </w:pPr>
            <w:r>
              <w:rPr>
                <w:rFonts w:ascii="Inter Display" w:hAnsi="Inter Display" w:eastAsia="Inter Display"/>
                <w:b/>
                <w:color w:val="FFFFFF"/>
                <w:sz w:val="32"/>
              </w:rPr>
              <w:t>4</w:t>
            </w:r>
          </w:p>
        </w:tc>
        <w:tc>
          <w:tcPr>
            <w:tcW w:type="dxa" w:w="8731"/>
            <w:shd w:fill="FBF8F3"/>
            <w:tcMar>
              <w:top w:w="100" w:type="dxa"/>
              <w:start w:w="100" w:type="dxa"/>
              <w:bottom w:w="100" w:type="dxa"/>
              <w:end w:w="100" w:type="dxa"/>
            </w:tcMar>
            <w:tcBorders>
              <w:top w:val="nil"/>
              <w:start w:val="nil"/>
              <w:bottom w:val="nil"/>
              <w:end w:val="nil"/>
            </w:tcBorders>
          </w:tcPr>
          <w:p>
            <w:r>
              <w:rPr>
                <w:rFonts w:ascii="Inter Display" w:hAnsi="Inter Display" w:eastAsia="Inter Display"/>
                <w:b/>
                <w:color w:val="231F20"/>
                <w:sz w:val="21"/>
              </w:rPr>
              <w:t>The credible whitespace is individual action-response learning.</w:t>
            </w:r>
          </w:p>
          <w:p>
            <w:pPr>
              <w:keepNext w:val="0"/>
              <w:keepLines w:val="0"/>
              <w:spacing w:before="0" w:after="0" w:line="257" w:lineRule="auto"/>
            </w:pPr>
            <w:r>
              <w:rPr>
                <w:rFonts w:ascii="Inter" w:hAnsi="Inter" w:eastAsia="Inter"/>
                <w:color w:val="2B2B2B"/>
                <w:sz w:val="18"/>
              </w:rPr>
              <w:t>NutriSync can differentiate by learning which small nutrition, movement and recovery actions are associated with better responses for each person across cycles, then recalibrating the next recommendation. This remains a design proposition until longitudinal data validates the loop. [I2-I3]</w:t>
            </w:r>
          </w:p>
        </w:tc>
      </w:tr>
    </w:tbl>
    <w:p>
      <w:pPr>
        <w:spacing w:after="0"/>
      </w:pPr>
    </w:p>
    <w:tbl>
      <w:tblPr>
        <w:tblW w:type="auto" w:w="0"/>
        <w:jc w:val="center"/>
        <w:tblLayout w:type="fixed"/>
        <w:tblLook w:firstColumn="1" w:firstRow="1" w:lastColumn="0" w:lastRow="0" w:noHBand="0" w:noVBand="1" w:val="04A0"/>
      </w:tblPr>
      <w:tblGrid>
        <w:gridCol w:w="4961"/>
        <w:gridCol w:w="4961"/>
      </w:tblGrid>
      <w:tr>
        <w:tc>
          <w:tcPr>
            <w:tcW w:type="dxa" w:w="624"/>
            <w:shd w:fill="EE5C4A"/>
            <w:tcMar>
              <w:top w:w="100" w:type="dxa"/>
              <w:start w:w="100" w:type="dxa"/>
              <w:bottom w:w="100" w:type="dxa"/>
              <w:end w:w="100" w:type="dxa"/>
            </w:tcMar>
            <w:tcBorders>
              <w:top w:val="nil"/>
              <w:start w:val="nil"/>
              <w:bottom w:val="nil"/>
              <w:end w:val="nil"/>
            </w:tcBorders>
          </w:tcPr>
          <w:p>
            <w:pPr>
              <w:jc w:val="center"/>
            </w:pPr>
            <w:r>
              <w:rPr>
                <w:rFonts w:ascii="Inter Display" w:hAnsi="Inter Display" w:eastAsia="Inter Display"/>
                <w:b/>
                <w:color w:val="FFFFFF"/>
                <w:sz w:val="32"/>
              </w:rPr>
              <w:t>5</w:t>
            </w:r>
          </w:p>
        </w:tc>
        <w:tc>
          <w:tcPr>
            <w:tcW w:type="dxa" w:w="8731"/>
            <w:shd w:fill="F6F4F1"/>
            <w:tcMar>
              <w:top w:w="100" w:type="dxa"/>
              <w:start w:w="100" w:type="dxa"/>
              <w:bottom w:w="100" w:type="dxa"/>
              <w:end w:w="100" w:type="dxa"/>
            </w:tcMar>
            <w:tcBorders>
              <w:top w:val="nil"/>
              <w:start w:val="nil"/>
              <w:bottom w:val="nil"/>
              <w:end w:val="nil"/>
            </w:tcBorders>
          </w:tcPr>
          <w:p>
            <w:r>
              <w:rPr>
                <w:rFonts w:ascii="Inter Display" w:hAnsi="Inter Display" w:eastAsia="Inter Display"/>
                <w:b/>
                <w:color w:val="231F20"/>
                <w:sz w:val="21"/>
              </w:rPr>
              <w:t>The investor slide must separate current maturity from target ambition.</w:t>
            </w:r>
          </w:p>
          <w:p>
            <w:pPr>
              <w:keepNext w:val="0"/>
              <w:keepLines w:val="0"/>
              <w:spacing w:before="0" w:after="0" w:line="257" w:lineRule="auto"/>
            </w:pPr>
            <w:r>
              <w:rPr>
                <w:rFonts w:ascii="Inter" w:hAnsi="Inter" w:eastAsia="Inter"/>
                <w:color w:val="2B2B2B"/>
                <w:sz w:val="18"/>
              </w:rPr>
              <w:t>Privacy and consent groundwork is documented; D2C access exists; integrated plans, scores, AI and community are in pilot/design; wearables are not active in the audited build; and the longitudinal data advantage has not yet been proven. [I3-I6]</w:t>
            </w:r>
          </w:p>
        </w:tc>
      </w:tr>
    </w:tbl>
    <w:p>
      <w:pPr>
        <w:spacing w:after="0"/>
      </w:pPr>
    </w:p>
    <w:tbl>
      <w:tblPr>
        <w:tblW w:type="auto" w:w="0"/>
        <w:jc w:val="center"/>
        <w:tblLayout w:type="fixed"/>
        <w:tblLook w:firstColumn="1" w:firstRow="1" w:lastColumn="0" w:lastRow="0" w:noHBand="0" w:noVBand="1" w:val="04A0"/>
      </w:tblPr>
      <w:tblGrid>
        <w:gridCol w:w="255"/>
        <w:gridCol w:w="9184"/>
      </w:tblGrid>
      <w:tr>
        <w:tc>
          <w:tcPr>
            <w:tcW w:type="dxa" w:w="4961"/>
            <w:shd w:fill="C94334"/>
            <w:tcMar>
              <w:top w:w="120" w:type="dxa"/>
              <w:start w:w="110" w:type="dxa"/>
              <w:bottom w:w="120" w:type="dxa"/>
              <w:end w:w="110" w:type="dxa"/>
            </w:tcMar>
            <w:tcBorders>
              <w:top w:val="nil"/>
              <w:start w:val="nil"/>
              <w:bottom w:val="nil"/>
              <w:end w:val="nil"/>
            </w:tcBorders>
            <w:vAlign w:val="center"/>
          </w:tcPr>
          <w:p/>
        </w:tc>
        <w:tc>
          <w:tcPr>
            <w:tcW w:type="dxa" w:w="4961"/>
            <w:shd w:fill="FCE4DF"/>
            <w:tcMar>
              <w:top w:w="120" w:type="dxa"/>
              <w:start w:w="110" w:type="dxa"/>
              <w:bottom w:w="120" w:type="dxa"/>
              <w:end w:w="110" w:type="dxa"/>
            </w:tcMar>
            <w:tcBorders>
              <w:top w:val="nil"/>
              <w:start w:val="nil"/>
              <w:bottom w:val="nil"/>
              <w:end w:val="nil"/>
            </w:tcBorders>
            <w:vAlign w:val="center"/>
          </w:tcPr>
          <w:p>
            <w:pPr>
              <w:keepNext w:val="0"/>
              <w:keepLines w:val="0"/>
              <w:spacing w:before="0" w:after="40" w:line="240" w:lineRule="auto"/>
            </w:pPr>
            <w:r>
              <w:rPr>
                <w:rFonts w:ascii="Inter Display" w:hAnsi="Inter Display" w:eastAsia="Inter Display"/>
                <w:b/>
                <w:color w:val="C94334"/>
                <w:sz w:val="22"/>
              </w:rPr>
              <w:t>Recommended positioning sentence</w:t>
            </w:r>
          </w:p>
          <w:p>
            <w:pPr>
              <w:keepNext w:val="0"/>
              <w:keepLines w:val="0"/>
              <w:spacing w:before="0" w:after="0" w:line="259" w:lineRule="auto"/>
            </w:pPr>
            <w:r>
              <w:rPr>
                <w:rFonts w:ascii="Inter" w:hAnsi="Inter" w:eastAsia="Inter"/>
                <w:color w:val="2B2B2B"/>
                <w:sz w:val="19"/>
              </w:rPr>
              <w:t>Competitors personalise content around a cycle. NutriSync is designed to learn which actions produce better outcomes for each individual across cycles.</w:t>
            </w:r>
          </w:p>
        </w:tc>
      </w:tr>
    </w:tbl>
    <w:p>
      <w:pPr>
        <w:spacing w:after="20"/>
      </w:pPr>
    </w:p>
    <w:p>
      <w:pPr>
        <w:pStyle w:val="Heading2"/>
      </w:pPr>
      <w:r>
        <w:t>What should change immediately</w:t>
      </w:r>
    </w:p>
    <w:p>
      <w:pPr>
        <w:pStyle w:val="ListNumber"/>
        <w:keepNext w:val="0"/>
        <w:keepLines w:val="0"/>
        <w:spacing w:before="0" w:after="80" w:line="259" w:lineRule="auto"/>
      </w:pPr>
      <w:r>
        <w:rPr>
          <w:rFonts w:ascii="Inter" w:hAnsi="Inter" w:eastAsia="Inter"/>
          <w:color w:val="2B2B2B"/>
          <w:sz w:val="19"/>
        </w:rPr>
        <w:t>Replace the “NutriSync has everything / competitors have fragments” message with a more credible market-evolution story.</w:t>
      </w:r>
    </w:p>
    <w:p>
      <w:pPr>
        <w:pStyle w:val="ListNumber"/>
        <w:keepNext w:val="0"/>
        <w:keepLines w:val="0"/>
        <w:spacing w:before="0" w:after="80" w:line="259" w:lineRule="auto"/>
      </w:pPr>
      <w:r>
        <w:rPr>
          <w:rFonts w:ascii="Inter" w:hAnsi="Inter" w:eastAsia="Inter"/>
          <w:color w:val="2B2B2B"/>
          <w:sz w:val="19"/>
        </w:rPr>
        <w:t>Show current maturity beside target capability: Live, Pilot, Roadmap and Evidence Required.</w:t>
      </w:r>
    </w:p>
    <w:p>
      <w:pPr>
        <w:pStyle w:val="ListNumber"/>
        <w:keepNext w:val="0"/>
        <w:keepLines w:val="0"/>
        <w:spacing w:before="0" w:after="80" w:line="259" w:lineRule="auto"/>
      </w:pPr>
      <w:r>
        <w:rPr>
          <w:rFonts w:ascii="Inter" w:hAnsi="Inter" w:eastAsia="Inter"/>
          <w:color w:val="2B2B2B"/>
          <w:sz w:val="19"/>
        </w:rPr>
        <w:t>Make the closed-loop action-response process the centre of the differentiation, not a supporting feature.</w:t>
      </w:r>
    </w:p>
    <w:p>
      <w:pPr>
        <w:pStyle w:val="ListNumber"/>
        <w:keepNext w:val="0"/>
        <w:keepLines w:val="0"/>
        <w:spacing w:before="0" w:after="80" w:line="259" w:lineRule="auto"/>
      </w:pPr>
      <w:r>
        <w:rPr>
          <w:rFonts w:ascii="Inter" w:hAnsi="Inter" w:eastAsia="Inter"/>
          <w:color w:val="2B2B2B"/>
          <w:sz w:val="19"/>
        </w:rPr>
        <w:t>Remove or qualify claims that competitors would need a fixed number of years to replicate the dataset, that every user creates a unique hormonal signature, or that predictive hormonal modelling is already available.</w:t>
      </w:r>
    </w:p>
    <w:p>
      <w:pPr>
        <w:pStyle w:val="ListNumber"/>
        <w:keepNext w:val="0"/>
        <w:keepLines w:val="0"/>
        <w:spacing w:before="0" w:after="80" w:line="259" w:lineRule="auto"/>
      </w:pPr>
      <w:r>
        <w:rPr>
          <w:rFonts w:ascii="Inter" w:hAnsi="Inter" w:eastAsia="Inter"/>
          <w:color w:val="2B2B2B"/>
          <w:sz w:val="19"/>
        </w:rPr>
        <w:t>Treat privacy, clinical collaboration and institutional channels as proof obligations and trust multipliers, not automatic moats.</w:t>
      </w: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02</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Source-slide reconstruction</w:t>
            </w:r>
          </w:p>
          <w:p>
            <w:pPr>
              <w:keepNext w:val="0"/>
              <w:keepLines w:val="0"/>
              <w:spacing w:before="0" w:after="0" w:line="245" w:lineRule="auto"/>
            </w:pPr>
            <w:r>
              <w:rPr>
                <w:rFonts w:ascii="Inter" w:hAnsi="Inter" w:eastAsia="Inter"/>
                <w:color w:val="6E6E6E"/>
                <w:sz w:val="18"/>
              </w:rPr>
              <w:t>Competitors shown in the attached capability slide and the terminology that should be preserved or clarified.</w:t>
            </w:r>
          </w:p>
        </w:tc>
      </w:tr>
    </w:tbl>
    <w:p>
      <w:pPr>
        <w:spacing w:after="0"/>
      </w:pPr>
    </w:p>
    <w:p>
      <w:pPr>
        <w:pStyle w:val="Heading2"/>
      </w:pPr>
      <w:r>
        <w:t>Competitors shown by logo</w:t>
      </w:r>
    </w:p>
    <w:tbl>
      <w:tblPr>
        <w:tblW w:type="auto" w:w="0"/>
        <w:jc w:val="center"/>
        <w:tblLayout w:type="fixed"/>
        <w:tblLook w:firstColumn="1" w:firstRow="1" w:lastColumn="0" w:lastRow="0" w:noHBand="0" w:noVBand="1" w:val="04A0"/>
      </w:tblPr>
      <w:tblGrid>
        <w:gridCol w:w="2480"/>
        <w:gridCol w:w="2480"/>
        <w:gridCol w:w="2480"/>
        <w:gridCol w:w="2480"/>
      </w:tblGrid>
      <w:tr>
        <w:trPr>
          <w:cantSplit/>
          <w:tblHeader w:val="true"/>
        </w:trPr>
        <w:tc>
          <w:tcPr>
            <w:tcW w:type="dxa" w:w="1701"/>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Source group</w:t>
            </w:r>
          </w:p>
        </w:tc>
        <w:tc>
          <w:tcPr>
            <w:tcW w:type="dxa" w:w="2268"/>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Reconstructed competitor</w:t>
            </w:r>
          </w:p>
        </w:tc>
        <w:tc>
          <w:tcPr>
            <w:tcW w:type="dxa" w:w="1134"/>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Confidence</w:t>
            </w:r>
          </w:p>
        </w:tc>
        <w:tc>
          <w:tcPr>
            <w:tcW w:type="dxa" w:w="3969"/>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Comment</w:t>
            </w:r>
          </w:p>
        </w:tc>
      </w:tr>
      <w:tr>
        <w:trPr>
          <w:cantSplit/>
        </w:trPr>
        <w:tc>
          <w:tcPr>
            <w:tcW w:type="dxa" w:w="170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Generic apps</w:t>
            </w:r>
          </w:p>
        </w:tc>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Flo</w:t>
            </w:r>
          </w:p>
        </w:tc>
        <w:tc>
          <w:tcPr>
            <w:tcW w:type="dxa" w:w="113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High</w:t>
            </w:r>
          </w:p>
        </w:tc>
        <w:tc>
          <w:tcPr>
            <w:tcW w:type="dxa" w:w="396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Direct logo match.</w:t>
            </w:r>
          </w:p>
        </w:tc>
      </w:tr>
      <w:tr>
        <w:trPr>
          <w:cantSplit/>
        </w:trPr>
        <w:tc>
          <w:tcPr>
            <w:tcW w:type="dxa" w:w="170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Generic apps</w:t>
            </w:r>
          </w:p>
        </w:tc>
        <w:tc>
          <w:tcPr>
            <w:tcW w:type="dxa" w:w="226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Clue</w:t>
            </w:r>
          </w:p>
        </w:tc>
        <w:tc>
          <w:tcPr>
            <w:tcW w:type="dxa" w:w="1134"/>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High</w:t>
            </w:r>
          </w:p>
        </w:tc>
        <w:tc>
          <w:tcPr>
            <w:tcW w:type="dxa" w:w="396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Direct logo match.</w:t>
            </w:r>
          </w:p>
        </w:tc>
      </w:tr>
      <w:tr>
        <w:trPr>
          <w:cantSplit/>
        </w:trPr>
        <w:tc>
          <w:tcPr>
            <w:tcW w:type="dxa" w:w="170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Generic apps</w:t>
            </w:r>
          </w:p>
        </w:tc>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Lively</w:t>
            </w:r>
          </w:p>
        </w:tc>
        <w:tc>
          <w:tcPr>
            <w:tcW w:type="dxa" w:w="113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Medium</w:t>
            </w:r>
          </w:p>
        </w:tc>
        <w:tc>
          <w:tcPr>
            <w:tcW w:type="dxa" w:w="396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Yellow app icon appears consistent with Lively; confirm in editable slide.</w:t>
            </w:r>
          </w:p>
        </w:tc>
      </w:tr>
      <w:tr>
        <w:trPr>
          <w:cantSplit/>
        </w:trPr>
        <w:tc>
          <w:tcPr>
            <w:tcW w:type="dxa" w:w="170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Additional content</w:t>
            </w:r>
          </w:p>
        </w:tc>
        <w:tc>
          <w:tcPr>
            <w:tcW w:type="dxa" w:w="226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MyFLO / FLO Living</w:t>
            </w:r>
          </w:p>
        </w:tc>
        <w:tc>
          <w:tcPr>
            <w:tcW w:type="dxa" w:w="1134"/>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High</w:t>
            </w:r>
          </w:p>
        </w:tc>
        <w:tc>
          <w:tcPr>
            <w:tcW w:type="dxa" w:w="396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Text logo appears as FLO Living / MyFLO.</w:t>
            </w:r>
          </w:p>
        </w:tc>
      </w:tr>
      <w:tr>
        <w:trPr>
          <w:cantSplit/>
        </w:trPr>
        <w:tc>
          <w:tcPr>
            <w:tcW w:type="dxa" w:w="170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Additional content</w:t>
            </w:r>
          </w:p>
        </w:tc>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FitrWoman</w:t>
            </w:r>
          </w:p>
        </w:tc>
        <w:tc>
          <w:tcPr>
            <w:tcW w:type="dxa" w:w="113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Medium</w:t>
            </w:r>
          </w:p>
        </w:tc>
        <w:tc>
          <w:tcPr>
            <w:tcW w:type="dxa" w:w="396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Purple radial mark appears consistent with FitrWoman; confirm in editable slide.</w:t>
            </w:r>
          </w:p>
        </w:tc>
      </w:tr>
      <w:tr>
        <w:trPr>
          <w:cantSplit/>
        </w:trPr>
        <w:tc>
          <w:tcPr>
            <w:tcW w:type="dxa" w:w="170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Additional content</w:t>
            </w:r>
          </w:p>
        </w:tc>
        <w:tc>
          <w:tcPr>
            <w:tcW w:type="dxa" w:w="226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28</w:t>
            </w:r>
          </w:p>
        </w:tc>
        <w:tc>
          <w:tcPr>
            <w:tcW w:type="dxa" w:w="1134"/>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High</w:t>
            </w:r>
          </w:p>
        </w:tc>
        <w:tc>
          <w:tcPr>
            <w:tcW w:type="dxa" w:w="396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Direct “28” logo match.</w:t>
            </w:r>
          </w:p>
        </w:tc>
      </w:tr>
      <w:tr>
        <w:trPr>
          <w:cantSplit/>
        </w:trPr>
        <w:tc>
          <w:tcPr>
            <w:tcW w:type="dxa" w:w="170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Additional content</w:t>
            </w:r>
          </w:p>
        </w:tc>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Natural Cycles</w:t>
            </w:r>
          </w:p>
        </w:tc>
        <w:tc>
          <w:tcPr>
            <w:tcW w:type="dxa" w:w="113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High</w:t>
            </w:r>
          </w:p>
        </w:tc>
        <w:tc>
          <w:tcPr>
            <w:tcW w:type="dxa" w:w="396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NC° wordmark appears on the slide.</w:t>
            </w:r>
          </w:p>
        </w:tc>
      </w:tr>
    </w:tbl>
    <w:p>
      <w:pPr>
        <w:pStyle w:val="SmallNote"/>
        <w:keepNext w:val="0"/>
        <w:keepLines w:val="0"/>
        <w:spacing w:before="40" w:after="120" w:line="247" w:lineRule="auto"/>
      </w:pPr>
      <w:r>
        <w:rPr>
          <w:rFonts w:ascii="Inter" w:hAnsi="Inter" w:eastAsia="Inter"/>
          <w:b/>
          <w:color w:val="6E6E6E"/>
          <w:sz w:val="16"/>
        </w:rPr>
        <w:t xml:space="preserve">Source note: </w:t>
      </w:r>
      <w:r>
        <w:rPr>
          <w:rFonts w:ascii="Inter" w:hAnsi="Inter" w:eastAsia="Inter"/>
          <w:color w:val="6E6E6E"/>
          <w:sz w:val="16"/>
        </w:rPr>
        <w:t>Logo-based reconstruction from the attached NutriSync RTSS capability slide. The editable source should be used to resolve the two medium-confidence identities. [I1]</w:t>
      </w:r>
    </w:p>
    <w:p>
      <w:pPr>
        <w:pStyle w:val="Heading2"/>
      </w:pPr>
      <w:r>
        <w:t>Original capability taxonomy</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835"/>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8"/>
              </w:rPr>
              <w:t>Capability family</w:t>
            </w:r>
          </w:p>
        </w:tc>
        <w:tc>
          <w:tcPr>
            <w:tcW w:type="dxa" w:w="6236"/>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8"/>
              </w:rPr>
              <w:t>Source-slide capability</w:t>
            </w:r>
          </w:p>
        </w:tc>
      </w:tr>
      <w:tr>
        <w:trPr>
          <w:cantSplit/>
        </w:trPr>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Scientific &amp; clinical base</w:t>
            </w:r>
          </w:p>
        </w:tc>
        <w:tc>
          <w:tcPr>
            <w:tcW w:type="dxa" w:w="623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Science-backed cycle-sync framework</w:t>
            </w:r>
          </w:p>
        </w:tc>
      </w:tr>
      <w:tr>
        <w:trPr>
          <w:cantSplit/>
        </w:trPr>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Scientific &amp; clinical base</w:t>
            </w:r>
          </w:p>
        </w:tc>
        <w:tc>
          <w:tcPr>
            <w:tcW w:type="dxa" w:w="623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Ethical data and privacy design</w:t>
            </w:r>
          </w:p>
        </w:tc>
      </w:tr>
      <w:tr>
        <w:trPr>
          <w:cantSplit/>
        </w:trPr>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Product &amp; AI layer</w:t>
            </w:r>
          </w:p>
        </w:tc>
        <w:tc>
          <w:tcPr>
            <w:tcW w:type="dxa" w:w="623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Integrated cycle, nutrition and fitness plans</w:t>
            </w:r>
          </w:p>
        </w:tc>
      </w:tr>
      <w:tr>
        <w:trPr>
          <w:cantSplit/>
        </w:trPr>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Product &amp; AI layer</w:t>
            </w:r>
          </w:p>
        </w:tc>
        <w:tc>
          <w:tcPr>
            <w:tcW w:type="dxa" w:w="623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AI personalisation</w:t>
            </w:r>
          </w:p>
        </w:tc>
      </w:tr>
      <w:tr>
        <w:trPr>
          <w:cantSplit/>
        </w:trPr>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Product &amp; AI layer</w:t>
            </w:r>
          </w:p>
        </w:tc>
        <w:tc>
          <w:tcPr>
            <w:tcW w:type="dxa" w:w="623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Social and community features</w:t>
            </w:r>
          </w:p>
        </w:tc>
      </w:tr>
      <w:tr>
        <w:trPr>
          <w:cantSplit/>
        </w:trPr>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Distribution &amp; data flywheel</w:t>
            </w:r>
          </w:p>
        </w:tc>
        <w:tc>
          <w:tcPr>
            <w:tcW w:type="dxa" w:w="623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Direct-to-consumer</w:t>
            </w:r>
          </w:p>
        </w:tc>
      </w:tr>
      <w:tr>
        <w:trPr>
          <w:cantSplit/>
        </w:trPr>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Distribution &amp; data flywheel</w:t>
            </w:r>
          </w:p>
        </w:tc>
        <w:tc>
          <w:tcPr>
            <w:tcW w:type="dxa" w:w="623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Clinician-partnered distribution</w:t>
            </w:r>
          </w:p>
        </w:tc>
      </w:tr>
      <w:tr>
        <w:trPr>
          <w:cantSplit/>
        </w:trPr>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Distribution &amp; data flywheel</w:t>
            </w:r>
          </w:p>
        </w:tc>
        <w:tc>
          <w:tcPr>
            <w:tcW w:type="dxa" w:w="623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Institutional ATL outreach</w:t>
            </w:r>
          </w:p>
        </w:tc>
      </w:tr>
      <w:tr>
        <w:trPr>
          <w:cantSplit/>
        </w:trPr>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8"/>
              </w:rPr>
              <w:t>Distribution &amp; data flywheel</w:t>
            </w:r>
          </w:p>
        </w:tc>
        <w:tc>
          <w:tcPr>
            <w:tcW w:type="dxa" w:w="623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8"/>
              </w:rPr>
              <w:t>TTL data and insight loop</w:t>
            </w:r>
          </w:p>
        </w:tc>
      </w:tr>
    </w:tbl>
    <w:p>
      <w:pPr>
        <w:pStyle w:val="Heading2"/>
      </w:pPr>
      <w:r>
        <w:t>Terminology changes recommended</w:t>
      </w:r>
    </w:p>
    <w:tbl>
      <w:tblPr>
        <w:tblW w:type="auto" w:w="0"/>
        <w:jc w:val="center"/>
        <w:tblLayout w:type="fixed"/>
        <w:tblLook w:firstColumn="1" w:firstRow="1" w:lastColumn="0" w:lastRow="0" w:noHBand="0" w:noVBand="1" w:val="04A0"/>
      </w:tblPr>
      <w:tblGrid>
        <w:gridCol w:w="3307"/>
        <w:gridCol w:w="3307"/>
        <w:gridCol w:w="3307"/>
      </w:tblGrid>
      <w:tr>
        <w:trPr>
          <w:cantSplit/>
          <w:tblHeader w:val="true"/>
        </w:trPr>
        <w:tc>
          <w:tcPr>
            <w:tcW w:type="dxa" w:w="2494"/>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Source wording</w:t>
            </w:r>
          </w:p>
        </w:tc>
        <w:tc>
          <w:tcPr>
            <w:tcW w:type="dxa" w:w="2721"/>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Recommended wording</w:t>
            </w:r>
          </w:p>
        </w:tc>
        <w:tc>
          <w:tcPr>
            <w:tcW w:type="dxa" w:w="3912"/>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Rationale</w:t>
            </w:r>
          </w:p>
        </w:tc>
      </w:tr>
      <w:tr>
        <w:trPr>
          <w:cantSplit/>
        </w:trPr>
        <w:tc>
          <w:tcPr>
            <w:tcW w:type="dxa" w:w="249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Science-backed cycle-sync framework</w:t>
            </w:r>
          </w:p>
        </w:tc>
        <w:tc>
          <w:tcPr>
            <w:tcW w:type="dxa" w:w="272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Evidence-led cycle and symptom framework</w:t>
            </w:r>
          </w:p>
        </w:tc>
        <w:tc>
          <w:tcPr>
            <w:tcW w:type="dxa" w:w="391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Avoid implying that phase-specific prescriptions are universally settled science.</w:t>
            </w:r>
          </w:p>
        </w:tc>
      </w:tr>
      <w:tr>
        <w:trPr>
          <w:cantSplit/>
        </w:trPr>
        <w:tc>
          <w:tcPr>
            <w:tcW w:type="dxa" w:w="2494"/>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AI personalisation</w:t>
            </w:r>
          </w:p>
        </w:tc>
        <w:tc>
          <w:tcPr>
            <w:tcW w:type="dxa" w:w="272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Adaptive personalisation</w:t>
            </w:r>
          </w:p>
        </w:tc>
        <w:tc>
          <w:tcPr>
            <w:tcW w:type="dxa" w:w="3912"/>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Use “AI” only where model behaviour, inputs, outputs and learning can be explained.</w:t>
            </w:r>
          </w:p>
        </w:tc>
      </w:tr>
      <w:tr>
        <w:trPr>
          <w:cantSplit/>
        </w:trPr>
        <w:tc>
          <w:tcPr>
            <w:tcW w:type="dxa" w:w="249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Institutional ATL outreach</w:t>
            </w:r>
          </w:p>
        </w:tc>
        <w:tc>
          <w:tcPr>
            <w:tcW w:type="dxa" w:w="272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Institutional distribution and outreach</w:t>
            </w:r>
          </w:p>
        </w:tc>
        <w:tc>
          <w:tcPr>
            <w:tcW w:type="dxa" w:w="391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ATL is a marketing-channel term; the strategic issue is employer, university, clinic and public-program access.</w:t>
            </w:r>
          </w:p>
        </w:tc>
      </w:tr>
      <w:tr>
        <w:trPr>
          <w:cantSplit/>
        </w:trPr>
        <w:tc>
          <w:tcPr>
            <w:tcW w:type="dxa" w:w="2494"/>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TTL data and insight loop</w:t>
            </w:r>
          </w:p>
        </w:tc>
        <w:tc>
          <w:tcPr>
            <w:tcW w:type="dxa" w:w="272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Longitudinal action-response learning loop</w:t>
            </w:r>
          </w:p>
        </w:tc>
        <w:tc>
          <w:tcPr>
            <w:tcW w:type="dxa" w:w="3912"/>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TTL is ambiguous. The valuable loop is recommendation, action, adherence, response and recalibration.</w:t>
            </w:r>
          </w:p>
        </w:tc>
      </w:tr>
      <w:tr>
        <w:trPr>
          <w:cantSplit/>
        </w:trPr>
        <w:tc>
          <w:tcPr>
            <w:tcW w:type="dxa" w:w="2494"/>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Core capability</w:t>
            </w:r>
          </w:p>
        </w:tc>
        <w:tc>
          <w:tcPr>
            <w:tcW w:type="dxa" w:w="272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Current maturity + evidence status</w:t>
            </w:r>
          </w:p>
        </w:tc>
        <w:tc>
          <w:tcPr>
            <w:tcW w:type="dxa" w:w="391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A target capability is not yet a current competitive advantage.</w:t>
            </w:r>
          </w:p>
        </w:tc>
      </w:tr>
    </w:tbl>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03</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Competitive landscape</w:t>
            </w:r>
          </w:p>
          <w:p>
            <w:pPr>
              <w:keepNext w:val="0"/>
              <w:keepLines w:val="0"/>
              <w:spacing w:before="0" w:after="0" w:line="245" w:lineRule="auto"/>
            </w:pPr>
            <w:r>
              <w:rPr>
                <w:rFonts w:ascii="Inter" w:hAnsi="Inter" w:eastAsia="Inter"/>
                <w:color w:val="6E6E6E"/>
                <w:sz w:val="18"/>
              </w:rPr>
              <w:t>Four market clusters explain the overlap better than “generic apps” versus “additional content.”</w:t>
            </w:r>
          </w:p>
        </w:tc>
      </w:tr>
    </w:tbl>
    <w:p>
      <w:pPr>
        <w:spacing w:after="0"/>
      </w:pPr>
    </w:p>
    <w:p>
      <w:pPr>
        <w:pStyle w:val="Heading2"/>
      </w:pPr>
      <w:r>
        <w:t>Recommended market clusters</w:t>
      </w:r>
    </w:p>
    <w:tbl>
      <w:tblPr>
        <w:tblW w:type="auto" w:w="0"/>
        <w:jc w:val="center"/>
        <w:tblLayout w:type="fixed"/>
        <w:tblLook w:firstColumn="1" w:firstRow="1" w:lastColumn="0" w:lastRow="0" w:noHBand="0" w:noVBand="1" w:val="04A0"/>
      </w:tblPr>
      <w:tblGrid>
        <w:gridCol w:w="3307"/>
        <w:gridCol w:w="3307"/>
        <w:gridCol w:w="3307"/>
      </w:tblGrid>
      <w:tr>
        <w:trPr>
          <w:cantSplit/>
          <w:tblHeader w:val="true"/>
        </w:trPr>
        <w:tc>
          <w:tcPr>
            <w:tcW w:type="dxa" w:w="2381"/>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Cluster</w:t>
            </w:r>
          </w:p>
        </w:tc>
        <w:tc>
          <w:tcPr>
            <w:tcW w:type="dxa" w:w="2551"/>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Representative competitors</w:t>
            </w:r>
          </w:p>
        </w:tc>
        <w:tc>
          <w:tcPr>
            <w:tcW w:type="dxa" w:w="4195"/>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What the cluster does well</w:t>
            </w:r>
          </w:p>
        </w:tc>
      </w:tr>
      <w:tr>
        <w:trPr>
          <w:cantSplit/>
        </w:trPr>
        <w:tc>
          <w:tcPr>
            <w:tcW w:type="dxa" w:w="238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Track, predict and reproductive journeys</w:t>
            </w:r>
          </w:p>
        </w:tc>
        <w:tc>
          <w:tcPr>
            <w:tcW w:type="dxa" w:w="255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Flo, Clue, Ovia, Natural Cycles</w:t>
            </w:r>
          </w:p>
        </w:tc>
        <w:tc>
          <w:tcPr>
            <w:tcW w:type="dxa" w:w="419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Strong tracking, predictions, fertility/pregnancy journeys, reports, science and/or regulatory credibility.</w:t>
            </w:r>
          </w:p>
        </w:tc>
      </w:tr>
      <w:tr>
        <w:trPr>
          <w:cantSplit/>
        </w:trPr>
        <w:tc>
          <w:tcPr>
            <w:tcW w:type="dxa" w:w="238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Cycle-based lifestyle and wellness</w:t>
            </w:r>
          </w:p>
        </w:tc>
        <w:tc>
          <w:tcPr>
            <w:tcW w:type="dxa" w:w="255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5"/>
              </w:rPr>
              <w:t>MyFLO, 28, Lively, Moody, Eative, Aluna</w:t>
            </w:r>
          </w:p>
        </w:tc>
        <w:tc>
          <w:tcPr>
            <w:tcW w:type="dxa" w:w="419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Phase-aware nutrition, exercise, wellbeing content and daily guidance; personalisation varies from rule-based to AI-labelled.</w:t>
            </w:r>
          </w:p>
        </w:tc>
      </w:tr>
      <w:tr>
        <w:trPr>
          <w:cantSplit/>
        </w:trPr>
        <w:tc>
          <w:tcPr>
            <w:tcW w:type="dxa" w:w="238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Female performance systems</w:t>
            </w:r>
          </w:p>
        </w:tc>
        <w:tc>
          <w:tcPr>
            <w:tcW w:type="dxa" w:w="255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Wild.AI, FitrWoman</w:t>
            </w:r>
          </w:p>
        </w:tc>
        <w:tc>
          <w:tcPr>
            <w:tcW w:type="dxa" w:w="419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Training, recovery and nutrition guidance, athlete or coach workflows, and in Wild.AI’s case wearable integration and readiness-style recommendations.</w:t>
            </w:r>
          </w:p>
        </w:tc>
      </w:tr>
      <w:tr>
        <w:trPr>
          <w:cantSplit/>
        </w:trPr>
        <w:tc>
          <w:tcPr>
            <w:tcW w:type="dxa" w:w="238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Hormone intelligence and measurement</w:t>
            </w:r>
          </w:p>
        </w:tc>
        <w:tc>
          <w:tcPr>
            <w:tcW w:type="dxa" w:w="255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Hormona</w:t>
            </w:r>
          </w:p>
        </w:tc>
        <w:tc>
          <w:tcPr>
            <w:tcW w:type="dxa" w:w="419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Symptom prediction, hormone-trend interpretation and at-home test/scanner positioning, with a strong perimenopause angle.</w:t>
            </w:r>
          </w:p>
        </w:tc>
      </w:tr>
    </w:tbl>
    <w:p>
      <w:pPr>
        <w:pStyle w:val="Heading2"/>
      </w:pPr>
      <w:r>
        <w:t>Expanded watchlist</w:t>
      </w:r>
    </w:p>
    <w:p>
      <w:pPr>
        <w:keepNext w:val="0"/>
        <w:keepLines w:val="0"/>
        <w:spacing w:before="0" w:after="100" w:line="252" w:lineRule="auto"/>
      </w:pPr>
      <w:r>
        <w:rPr>
          <w:rFonts w:ascii="Inter" w:hAnsi="Inter" w:eastAsia="Inter"/>
          <w:b w:val="0"/>
          <w:color w:val="2B2B2B"/>
          <w:sz w:val="19"/>
        </w:rPr>
        <w:t>The capability slide should retain the seven reconstructed names for traceability, but the live watchlist should also include Ovia, Wild.AI, Hormona, Moody, Eative and Aluna. Aluna is now a direct comparator for AI meal-photo logging, cycle context, workouts and weekly nutrition patterns; 28 should also be monitored release-by-release rather than annually.</w:t>
      </w:r>
    </w:p>
    <w:p>
      <w:pPr>
        <w:jc w:val="center"/>
      </w:pPr>
      <w:r>
        <w:drawing>
          <wp:inline xmlns:a="http://schemas.openxmlformats.org/drawingml/2006/main" xmlns:pic="http://schemas.openxmlformats.org/drawingml/2006/picture">
            <wp:extent cx="6012000" cy="3675983"/>
            <wp:docPr id="2" name="Picture 2" title="Competitive positioning map" descr="Illustrative map placing competitor products by intervention breadth and depth of personalisation, with NutriSync current and target positions."/>
            <wp:cNvGraphicFramePr>
              <a:graphicFrameLocks noChangeAspect="1"/>
            </wp:cNvGraphicFramePr>
            <a:graphic>
              <a:graphicData uri="http://schemas.openxmlformats.org/drawingml/2006/picture">
                <pic:pic>
                  <pic:nvPicPr>
                    <pic:cNvPr id="0" name="positioning_map.png"/>
                    <pic:cNvPicPr/>
                  </pic:nvPicPr>
                  <pic:blipFill>
                    <a:blip r:embed="rId14"/>
                    <a:stretch>
                      <a:fillRect/>
                    </a:stretch>
                  </pic:blipFill>
                  <pic:spPr>
                    <a:xfrm>
                      <a:off x="0" y="0"/>
                      <a:ext cx="6012000" cy="3675983"/>
                    </a:xfrm>
                    <a:prstGeom prst="rect"/>
                  </pic:spPr>
                </pic:pic>
              </a:graphicData>
            </a:graphic>
          </wp:inline>
        </w:drawing>
      </w:r>
    </w:p>
    <w:p>
      <w:pPr>
        <w:pStyle w:val="SmallNote"/>
        <w:keepNext w:val="0"/>
        <w:keepLines w:val="0"/>
        <w:spacing w:before="40" w:after="120" w:line="247" w:lineRule="auto"/>
      </w:pPr>
      <w:r>
        <w:rPr>
          <w:rFonts w:ascii="Inter" w:hAnsi="Inter" w:eastAsia="Inter"/>
          <w:b/>
          <w:color w:val="6E6E6E"/>
          <w:sz w:val="16"/>
        </w:rPr>
        <w:t xml:space="preserve">Source note: </w:t>
      </w:r>
      <w:r>
        <w:rPr>
          <w:rFonts w:ascii="Inter" w:hAnsi="Inter" w:eastAsia="Inter"/>
          <w:color w:val="6E6E6E"/>
          <w:sz w:val="16"/>
        </w:rPr>
        <w:t>Illustrative strategic map based on official product materials. Axes are qualitative and are not market-share, product-quality or clinical-effectiveness scores.</w:t>
      </w:r>
    </w:p>
    <w:p>
      <w:pPr>
        <w:sectPr>
          <w:headerReference w:type="default" r:id="rId12"/>
          <w:footerReference w:type="default" r:id="rId13"/>
          <w:pgSz w:w="11906" w:h="16838"/>
          <w:pgMar w:top="935" w:right="992" w:bottom="879" w:left="992" w:header="369" w:footer="369" w:gutter="0"/>
          <w:cols w:space="720"/>
          <w:docGrid w:linePitch="360"/>
        </w:sectPr>
      </w:pPr>
    </w:p>
    <w:tbl>
      <w:tblPr>
        <w:tblW w:type="auto" w:w="0"/>
        <w:jc w:val="center"/>
        <w:tblLayout w:type="fixed"/>
        <w:tblLook w:firstColumn="1" w:firstRow="1" w:lastColumn="0" w:lastRow="0" w:noHBand="0" w:noVBand="1" w:val="04A0"/>
      </w:tblPr>
      <w:tblGrid>
        <w:gridCol w:w="7710"/>
        <w:gridCol w:w="7710"/>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04</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Capability benchmark</w:t>
            </w:r>
          </w:p>
          <w:p>
            <w:pPr>
              <w:keepNext w:val="0"/>
              <w:keepLines w:val="0"/>
              <w:spacing w:before="0" w:after="0" w:line="245" w:lineRule="auto"/>
            </w:pPr>
            <w:r>
              <w:rPr>
                <w:rFonts w:ascii="Inter" w:hAnsi="Inter" w:eastAsia="Inter"/>
                <w:color w:val="6E6E6E"/>
                <w:sz w:val="18"/>
              </w:rPr>
              <w:t>A public-evidence comparison that avoids treating every feature as equally mature or clinically proven.</w:t>
            </w:r>
          </w:p>
        </w:tc>
      </w:tr>
    </w:tbl>
    <w:p>
      <w:pPr>
        <w:spacing w:after="0"/>
      </w:pPr>
    </w:p>
    <w:p>
      <w:pPr>
        <w:pStyle w:val="Heading2"/>
      </w:pPr>
      <w:r>
        <w:t>How to read the matrix</w:t>
      </w:r>
    </w:p>
    <w:tbl>
      <w:tblPr>
        <w:tblW w:type="auto" w:w="0"/>
        <w:tblLook w:firstColumn="1" w:firstRow="1" w:lastColumn="0" w:lastRow="0" w:noHBand="0" w:noVBand="1" w:val="04A0"/>
      </w:tblPr>
      <w:tblGrid>
        <w:gridCol w:w="3084"/>
        <w:gridCol w:w="3084"/>
        <w:gridCol w:w="3084"/>
        <w:gridCol w:w="3084"/>
        <w:gridCol w:w="3084"/>
      </w:tblGrid>
      <w:tr>
        <w:tc>
          <w:tcPr>
            <w:tcW w:type="dxa" w:w="3084"/>
            <w:shd w:fill="E5EFEA"/>
            <w:tcMar>
              <w:top w:w="70" w:type="dxa"/>
              <w:start w:w="80" w:type="dxa"/>
              <w:bottom w:w="70" w:type="dxa"/>
              <w:end w:w="80" w:type="dxa"/>
            </w:tcMar>
            <w:tcBorders>
              <w:top w:val="single" w:sz="3" w:color="E9E7E4"/>
              <w:start w:val="single" w:sz="3" w:color="E9E7E4"/>
              <w:bottom w:val="single" w:sz="3" w:color="E9E7E4"/>
              <w:end w:val="single" w:sz="3" w:color="E9E7E4"/>
            </w:tcBorders>
          </w:tcPr>
          <w:p>
            <w:pPr>
              <w:jc w:val="center"/>
            </w:pPr>
            <w:r>
              <w:rPr>
                <w:rFonts w:ascii="Inter" w:hAnsi="Inter" w:eastAsia="Inter"/>
                <w:b/>
                <w:color w:val="6B8E7D"/>
                <w:sz w:val="17"/>
              </w:rPr>
              <w:t xml:space="preserve">C  </w:t>
            </w:r>
            <w:r>
              <w:rPr>
                <w:rFonts w:ascii="Inter" w:hAnsi="Inter" w:eastAsia="Inter"/>
                <w:color w:val="2B2B2B"/>
                <w:sz w:val="16"/>
              </w:rPr>
              <w:t>Central / operational</w:t>
            </w:r>
          </w:p>
        </w:tc>
        <w:tc>
          <w:tcPr>
            <w:tcW w:type="dxa" w:w="3084"/>
            <w:shd w:fill="F7EBD9"/>
            <w:tcMar>
              <w:top w:w="70" w:type="dxa"/>
              <w:start w:w="80" w:type="dxa"/>
              <w:bottom w:w="70" w:type="dxa"/>
              <w:end w:w="80" w:type="dxa"/>
            </w:tcMar>
            <w:tcBorders>
              <w:top w:val="single" w:sz="3" w:color="E9E7E4"/>
              <w:start w:val="single" w:sz="3" w:color="E9E7E4"/>
              <w:bottom w:val="single" w:sz="3" w:color="E9E7E4"/>
              <w:end w:val="single" w:sz="3" w:color="E9E7E4"/>
            </w:tcBorders>
          </w:tcPr>
          <w:p>
            <w:pPr>
              <w:jc w:val="center"/>
            </w:pPr>
            <w:r>
              <w:rPr>
                <w:rFonts w:ascii="Inter" w:hAnsi="Inter" w:eastAsia="Inter"/>
                <w:b/>
                <w:color w:val="E6A25A"/>
                <w:sz w:val="17"/>
              </w:rPr>
              <w:t xml:space="preserve">P  </w:t>
            </w:r>
            <w:r>
              <w:rPr>
                <w:rFonts w:ascii="Inter" w:hAnsi="Inter" w:eastAsia="Inter"/>
                <w:color w:val="2B2B2B"/>
                <w:sz w:val="16"/>
              </w:rPr>
              <w:t>Present / partial</w:t>
            </w:r>
          </w:p>
        </w:tc>
        <w:tc>
          <w:tcPr>
            <w:tcW w:type="dxa" w:w="3084"/>
            <w:shd w:fill="E7EDF3"/>
            <w:tcMar>
              <w:top w:w="70" w:type="dxa"/>
              <w:start w:w="80" w:type="dxa"/>
              <w:bottom w:w="70" w:type="dxa"/>
              <w:end w:w="80" w:type="dxa"/>
            </w:tcMar>
            <w:tcBorders>
              <w:top w:val="single" w:sz="3" w:color="E9E7E4"/>
              <w:start w:val="single" w:sz="3" w:color="E9E7E4"/>
              <w:bottom w:val="single" w:sz="3" w:color="E9E7E4"/>
              <w:end w:val="single" w:sz="3" w:color="E9E7E4"/>
            </w:tcBorders>
          </w:tcPr>
          <w:p>
            <w:pPr>
              <w:jc w:val="center"/>
            </w:pPr>
            <w:r>
              <w:rPr>
                <w:rFonts w:ascii="Inter" w:hAnsi="Inter" w:eastAsia="Inter"/>
                <w:b/>
                <w:color w:val="5D7692"/>
                <w:sz w:val="17"/>
              </w:rPr>
              <w:t xml:space="preserve">A  </w:t>
            </w:r>
            <w:r>
              <w:rPr>
                <w:rFonts w:ascii="Inter" w:hAnsi="Inter" w:eastAsia="Inter"/>
                <w:color w:val="2B2B2B"/>
                <w:sz w:val="16"/>
              </w:rPr>
              <w:t>Adjacent / indirect</w:t>
            </w:r>
          </w:p>
        </w:tc>
        <w:tc>
          <w:tcPr>
            <w:tcW w:type="dxa" w:w="3084"/>
            <w:shd w:fill="F6F4F1"/>
            <w:tcMar>
              <w:top w:w="70" w:type="dxa"/>
              <w:start w:w="80" w:type="dxa"/>
              <w:bottom w:w="70" w:type="dxa"/>
              <w:end w:w="80" w:type="dxa"/>
            </w:tcMar>
            <w:tcBorders>
              <w:top w:val="single" w:sz="3" w:color="E9E7E4"/>
              <w:start w:val="single" w:sz="3" w:color="E9E7E4"/>
              <w:bottom w:val="single" w:sz="3" w:color="E9E7E4"/>
              <w:end w:val="single" w:sz="3" w:color="E9E7E4"/>
            </w:tcBorders>
          </w:tcPr>
          <w:p>
            <w:pPr>
              <w:jc w:val="center"/>
            </w:pPr>
            <w:r>
              <w:rPr>
                <w:rFonts w:ascii="Inter" w:hAnsi="Inter" w:eastAsia="Inter"/>
                <w:b/>
                <w:color w:val="6E6E6E"/>
                <w:sz w:val="17"/>
              </w:rPr>
              <w:t xml:space="preserve">-  </w:t>
            </w:r>
            <w:r>
              <w:rPr>
                <w:rFonts w:ascii="Inter" w:hAnsi="Inter" w:eastAsia="Inter"/>
                <w:color w:val="2B2B2B"/>
                <w:sz w:val="16"/>
              </w:rPr>
              <w:t>Not publicly evidenced</w:t>
            </w:r>
          </w:p>
        </w:tc>
        <w:tc>
          <w:tcPr>
            <w:tcW w:type="dxa" w:w="3084"/>
            <w:shd w:fill="FCE4DF"/>
            <w:tcMar>
              <w:top w:w="70" w:type="dxa"/>
              <w:start w:w="80" w:type="dxa"/>
              <w:bottom w:w="70" w:type="dxa"/>
              <w:end w:w="80" w:type="dxa"/>
            </w:tcMar>
            <w:tcBorders>
              <w:top w:val="single" w:sz="3" w:color="E9E7E4"/>
              <w:start w:val="single" w:sz="3" w:color="E9E7E4"/>
              <w:bottom w:val="single" w:sz="3" w:color="E9E7E4"/>
              <w:end w:val="single" w:sz="3" w:color="E9E7E4"/>
            </w:tcBorders>
          </w:tcPr>
          <w:p>
            <w:pPr>
              <w:jc w:val="center"/>
            </w:pPr>
            <w:r>
              <w:rPr>
                <w:rFonts w:ascii="Inter" w:hAnsi="Inter" w:eastAsia="Inter"/>
                <w:b/>
                <w:color w:val="C94334"/>
                <w:sz w:val="17"/>
              </w:rPr>
              <w:t xml:space="preserve">R  </w:t>
            </w:r>
            <w:r>
              <w:rPr>
                <w:rFonts w:ascii="Inter" w:hAnsi="Inter" w:eastAsia="Inter"/>
                <w:color w:val="2B2B2B"/>
                <w:sz w:val="16"/>
              </w:rPr>
              <w:t>NutriSync roadmap</w:t>
            </w:r>
          </w:p>
        </w:tc>
      </w:tr>
    </w:tbl>
    <w:tbl>
      <w:tblPr>
        <w:tblW w:type="auto" w:w="0"/>
        <w:jc w:val="center"/>
        <w:tblLayout w:type="fixed"/>
        <w:tblLook w:firstColumn="1" w:firstRow="1" w:lastColumn="0" w:lastRow="0" w:noHBand="0" w:noVBand="1" w:val="04A0"/>
      </w:tblPr>
      <w:tblGrid>
        <w:gridCol w:w="1285"/>
        <w:gridCol w:w="1285"/>
        <w:gridCol w:w="1285"/>
        <w:gridCol w:w="1285"/>
        <w:gridCol w:w="1285"/>
        <w:gridCol w:w="1285"/>
        <w:gridCol w:w="1285"/>
        <w:gridCol w:w="1285"/>
        <w:gridCol w:w="1285"/>
        <w:gridCol w:w="1285"/>
        <w:gridCol w:w="1285"/>
        <w:gridCol w:w="1285"/>
      </w:tblGrid>
      <w:tr>
        <w:trPr>
          <w:cantSplit/>
          <w:tblHeader w:val="true"/>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left"/>
            </w:pPr>
            <w:r>
              <w:rPr>
                <w:rFonts w:ascii="Inter" w:hAnsi="Inter" w:eastAsia="Inter"/>
                <w:b/>
                <w:color w:val="FFFFFF"/>
                <w:sz w:val="15"/>
              </w:rPr>
              <w:t>Competitor</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SCI</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PRIV</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INT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PERS</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COMM</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DTC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CARE</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INST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LONG</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BIO</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231F20"/>
          </w:tcPr>
          <w:p>
            <w:pPr>
              <w:spacing w:before="0" w:after="0" w:line="240" w:lineRule="auto"/>
              <w:jc w:val="center"/>
            </w:pPr>
            <w:r>
              <w:rPr>
                <w:rFonts w:ascii="Inter" w:hAnsi="Inter" w:eastAsia="Inter"/>
                <w:b/>
                <w:color w:val="FFFFFF"/>
                <w:sz w:val="16"/>
              </w:rPr>
              <w:t>LOOP</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Flo</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Clue</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Ovia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Natural Cycles</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MyFLO / FLO Living</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28</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Lively</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Moody</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Eative</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Wild.AI</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left"/>
            </w:pPr>
            <w:r>
              <w:rPr>
                <w:rFonts w:ascii="Inter" w:hAnsi="Inter" w:eastAsia="Inter"/>
                <w:b/>
                <w:color w:val="2B2B2B"/>
                <w:sz w:val="15"/>
              </w:rPr>
              <w:t>FitrWoman</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FFFFF"/>
          </w:tcPr>
          <w:p>
            <w:pPr>
              <w:spacing w:before="0" w:after="0" w:line="240" w:lineRule="auto"/>
              <w:jc w:val="center"/>
            </w:pPr>
            <w:r>
              <w:rPr>
                <w:rFonts w:ascii="Inter" w:hAnsi="Inter" w:eastAsia="Inter"/>
                <w:b/>
                <w:color w:val="5D7692"/>
                <w:sz w:val="16"/>
              </w:rPr>
              <w:t>A</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left"/>
            </w:pPr>
            <w:r>
              <w:rPr>
                <w:rFonts w:ascii="Inter" w:hAnsi="Inter" w:eastAsia="Inter"/>
                <w:b/>
                <w:color w:val="2B2B2B"/>
                <w:sz w:val="15"/>
              </w:rPr>
              <w:t>Hormona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E6E6E"/>
                <w:sz w:val="16"/>
              </w:rPr>
              <w: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6F4F1"/>
          </w:tcPr>
          <w:p>
            <w:pPr>
              <w:spacing w:before="0" w:after="0" w:line="240" w:lineRule="auto"/>
              <w:jc w:val="center"/>
            </w:pPr>
            <w:r>
              <w:rPr>
                <w:rFonts w:ascii="Inter" w:hAnsi="Inter" w:eastAsia="Inter"/>
                <w:b/>
                <w:color w:val="9B672E"/>
                <w:sz w:val="16"/>
              </w:rPr>
              <w:t>P</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left"/>
            </w:pPr>
            <w:r>
              <w:rPr>
                <w:rFonts w:ascii="Inter" w:hAnsi="Inter" w:eastAsia="Inter"/>
                <w:b/>
                <w:color w:val="2B2B2B"/>
                <w:sz w:val="15"/>
              </w:rPr>
              <w:t>NutriSync - current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5D7692"/>
                <w:sz w:val="16"/>
              </w:rPr>
              <w:t>A</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C94334"/>
                <w:sz w:val="16"/>
              </w:rPr>
              <w:t>R</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CE4DF"/>
          </w:tcPr>
          <w:p>
            <w:pPr>
              <w:spacing w:before="0" w:after="0" w:line="240" w:lineRule="auto"/>
              <w:jc w:val="center"/>
            </w:pPr>
            <w:r>
              <w:rPr>
                <w:rFonts w:ascii="Inter" w:hAnsi="Inter" w:eastAsia="Inter"/>
                <w:b/>
                <w:color w:val="9B672E"/>
                <w:sz w:val="16"/>
              </w:rPr>
              <w:t>P</w:t>
            </w:r>
          </w:p>
        </w:tc>
      </w:tr>
      <w:tr>
        <w:trPr>
          <w:cantSplit/>
        </w:trPr>
        <w:tc>
          <w:tcPr>
            <w:tcW w:type="dxa" w:w="2324"/>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left"/>
            </w:pPr>
            <w:r>
              <w:rPr>
                <w:rFonts w:ascii="Inter" w:hAnsi="Inter" w:eastAsia="Inter"/>
                <w:b/>
                <w:color w:val="2B2B2B"/>
                <w:sz w:val="15"/>
              </w:rPr>
              <w:t>NutriSync - target</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c>
          <w:tcPr>
            <w:tcW w:type="dxa" w:w="992"/>
            <w:vAlign w:val="center"/>
            <w:tcMar>
              <w:top w:w="55" w:type="dxa"/>
              <w:start w:w="45" w:type="dxa"/>
              <w:bottom w:w="55" w:type="dxa"/>
              <w:end w:w="45" w:type="dxa"/>
            </w:tcMar>
            <w:tcBorders>
              <w:top w:val="single" w:sz="3" w:color="E9E7E4"/>
              <w:start w:val="single" w:sz="3" w:color="E9E7E4"/>
              <w:bottom w:val="single" w:sz="3" w:color="E9E7E4"/>
              <w:end w:val="single" w:sz="3" w:color="E9E7E4"/>
            </w:tcBorders>
            <w:shd w:fill="F7D0C7"/>
          </w:tcPr>
          <w:p>
            <w:pPr>
              <w:spacing w:before="0" w:after="0" w:line="240" w:lineRule="auto"/>
              <w:jc w:val="center"/>
            </w:pPr>
            <w:r>
              <w:rPr>
                <w:rFonts w:ascii="Inter" w:hAnsi="Inter" w:eastAsia="Inter"/>
                <w:b/>
                <w:color w:val="6B8E7D"/>
                <w:sz w:val="16"/>
              </w:rPr>
              <w:t>C</w:t>
            </w:r>
          </w:p>
        </w:tc>
      </w:tr>
    </w:tbl>
    <w:p>
      <w:pPr>
        <w:pStyle w:val="Heading2"/>
      </w:pPr>
      <w:r>
        <w:t>Capability definitions</w:t>
      </w:r>
    </w:p>
    <w:tbl>
      <w:tblPr>
        <w:tblW w:type="auto" w:w="0"/>
        <w:jc w:val="center"/>
        <w:tblLayout w:type="fixed"/>
        <w:tblLook w:firstColumn="1" w:firstRow="1" w:lastColumn="0" w:lastRow="0" w:noHBand="0" w:noVBand="1" w:val="04A0"/>
      </w:tblPr>
      <w:tblGrid>
        <w:gridCol w:w="3855"/>
        <w:gridCol w:w="3855"/>
        <w:gridCol w:w="3855"/>
        <w:gridCol w:w="3855"/>
      </w:tblGrid>
      <w:tr>
        <w:trPr>
          <w:cantSplit/>
          <w:tblHeader w:val="true"/>
        </w:trPr>
        <w:tc>
          <w:tcPr>
            <w:tcW w:type="dxa" w:w="850"/>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5"/>
              </w:rPr>
              <w:t>Code</w:t>
            </w:r>
          </w:p>
        </w:tc>
        <w:tc>
          <w:tcPr>
            <w:tcW w:type="dxa" w:w="2835"/>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5"/>
              </w:rPr>
              <w:t>Capability</w:t>
            </w:r>
          </w:p>
        </w:tc>
        <w:tc>
          <w:tcPr>
            <w:tcW w:type="dxa" w:w="4649"/>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5"/>
              </w:rPr>
              <w:t>Included</w:t>
            </w:r>
          </w:p>
        </w:tc>
        <w:tc>
          <w:tcPr>
            <w:tcW w:type="dxa" w:w="5896"/>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5"/>
              </w:rPr>
              <w:t>Not automatically implied</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SCI</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Evidence-led cycle / clinical framework</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Expert or research basis, validated algorithms or regulated positioning.</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That every phase-specific recommendation is settled science.</w:t>
            </w:r>
          </w:p>
        </w:tc>
      </w:tr>
      <w:tr>
        <w:trPr>
          <w:cantSplit/>
        </w:trPr>
        <w:tc>
          <w:tcPr>
            <w:tcW w:type="dxa" w:w="850"/>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PRIV</w:t>
            </w:r>
          </w:p>
        </w:tc>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Privacy-by-design posture</w:t>
            </w:r>
          </w:p>
        </w:tc>
        <w:tc>
          <w:tcPr>
            <w:tcW w:type="dxa" w:w="464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Public privacy controls, consent design, minimisation or strong privacy positioning.</w:t>
            </w:r>
          </w:p>
        </w:tc>
        <w:tc>
          <w:tcPr>
            <w:tcW w:type="dxa" w:w="589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Independent verification of all practices.</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INT</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Integrated guidance</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Cycle context connected to nutrition and movement/recovery.</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Adaptive learning from the user’s response.</w:t>
            </w:r>
          </w:p>
        </w:tc>
      </w:tr>
      <w:tr>
        <w:trPr>
          <w:cantSplit/>
        </w:trPr>
        <w:tc>
          <w:tcPr>
            <w:tcW w:type="dxa" w:w="850"/>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PERS</w:t>
            </w:r>
          </w:p>
        </w:tc>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Personalisation / AI</w:t>
            </w:r>
          </w:p>
        </w:tc>
        <w:tc>
          <w:tcPr>
            <w:tcW w:type="dxa" w:w="464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Predictions, tailored feeds, adaptive rules or AI-labelled guidance.</w:t>
            </w:r>
          </w:p>
        </w:tc>
        <w:tc>
          <w:tcPr>
            <w:tcW w:type="dxa" w:w="589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A continuously learning model or clinical effectiveness.</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COMM</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Community / social</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Peer community, social participation or meaningful sharing.</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Partner sharing alone is a full community.</w:t>
            </w:r>
          </w:p>
        </w:tc>
      </w:tr>
      <w:tr>
        <w:trPr>
          <w:cantSplit/>
        </w:trPr>
        <w:tc>
          <w:tcPr>
            <w:tcW w:type="dxa" w:w="850"/>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DTC</w:t>
            </w:r>
          </w:p>
        </w:tc>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Direct access</w:t>
            </w:r>
          </w:p>
        </w:tc>
        <w:tc>
          <w:tcPr>
            <w:tcW w:type="dxa" w:w="464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Consumer app or direct subscription.</w:t>
            </w:r>
          </w:p>
        </w:tc>
        <w:tc>
          <w:tcPr>
            <w:tcW w:type="dxa" w:w="589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Efficient acquisition or strong retention.</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CARE</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Care pathway</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Care team, clinician report, telehealth or professional workflow.</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Clinical distribution at scale.</w:t>
            </w:r>
          </w:p>
        </w:tc>
      </w:tr>
      <w:tr>
        <w:trPr>
          <w:cantSplit/>
        </w:trPr>
        <w:tc>
          <w:tcPr>
            <w:tcW w:type="dxa" w:w="850"/>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INST</w:t>
            </w:r>
          </w:p>
        </w:tc>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Institutional channel</w:t>
            </w:r>
          </w:p>
        </w:tc>
        <w:tc>
          <w:tcPr>
            <w:tcW w:type="dxa" w:w="464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Employer, health plan, coach, team, university or public-program route.</w:t>
            </w:r>
          </w:p>
        </w:tc>
        <w:tc>
          <w:tcPr>
            <w:tcW w:type="dxa" w:w="589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Contracted volume or renewal.</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LONG</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Longitudinal insights</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Trend reports, pattern detection or multi-cycle analysis.</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Causal evidence that recommendations improved outcomes.</w:t>
            </w:r>
          </w:p>
        </w:tc>
      </w:tr>
      <w:tr>
        <w:trPr>
          <w:cantSplit/>
        </w:trPr>
        <w:tc>
          <w:tcPr>
            <w:tcW w:type="dxa" w:w="850"/>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BIO</w:t>
            </w:r>
          </w:p>
        </w:tc>
        <w:tc>
          <w:tcPr>
            <w:tcW w:type="dxa" w:w="283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Biometrics / tests</w:t>
            </w:r>
          </w:p>
        </w:tc>
        <w:tc>
          <w:tcPr>
            <w:tcW w:type="dxa" w:w="4649"/>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Wearables, temperature, health-platform data, CGM or hormone tests.</w:t>
            </w:r>
          </w:p>
        </w:tc>
        <w:tc>
          <w:tcPr>
            <w:tcW w:type="dxa" w:w="5896"/>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Accuracy, usefulness or regulatory clearance for every use.</w:t>
            </w:r>
          </w:p>
        </w:tc>
      </w:tr>
      <w:tr>
        <w:trPr>
          <w:cantSplit/>
        </w:trPr>
        <w:tc>
          <w:tcPr>
            <w:tcW w:type="dxa" w:w="850"/>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5"/>
              </w:rPr>
              <w:t>LOOP</w:t>
            </w:r>
          </w:p>
        </w:tc>
        <w:tc>
          <w:tcPr>
            <w:tcW w:type="dxa" w:w="283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Action-response learning</w:t>
            </w:r>
          </w:p>
        </w:tc>
        <w:tc>
          <w:tcPr>
            <w:tcW w:type="dxa" w:w="4649"/>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Recommendation, action, adherence, response and recalibration.</w:t>
            </w:r>
          </w:p>
        </w:tc>
        <w:tc>
          <w:tcPr>
            <w:tcW w:type="dxa" w:w="5896"/>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5"/>
              </w:rPr>
              <w:t>A data moat before the loop is instrumented and validated.</w:t>
            </w:r>
          </w:p>
        </w:tc>
      </w:tr>
    </w:tbl>
    <w:p>
      <w:pPr>
        <w:pStyle w:val="SmallNote"/>
        <w:keepNext w:val="0"/>
        <w:keepLines w:val="0"/>
        <w:spacing w:before="40" w:after="120" w:line="247" w:lineRule="auto"/>
      </w:pPr>
      <w:r>
        <w:rPr>
          <w:rFonts w:ascii="Inter" w:hAnsi="Inter" w:eastAsia="Inter"/>
          <w:b/>
          <w:color w:val="6E6E6E"/>
          <w:sz w:val="16"/>
        </w:rPr>
        <w:t xml:space="preserve">Source note: </w:t>
      </w:r>
      <w:r>
        <w:rPr>
          <w:rFonts w:ascii="Inter" w:hAnsi="Inter" w:eastAsia="Inter"/>
          <w:color w:val="6E6E6E"/>
          <w:sz w:val="16"/>
        </w:rPr>
        <w:t>Matrix based on official public materials reviewed 9 August 2026 and NutriSync internal documents. It is a strategic evidence map, not a product-quality ranking. [I1-I6; E1-E18]</w:t>
      </w:r>
    </w:p>
    <w:p>
      <w:pPr>
        <w:sectPr>
          <w:headerReference w:type="default" r:id="rId15"/>
          <w:footerReference w:type="default" r:id="rId16"/>
          <w:pgSz w:w="16838" w:h="11906" w:orient="landscape"/>
          <w:pgMar w:top="765" w:right="709" w:bottom="765" w:left="709" w:header="369" w:footer="369" w:gutter="0"/>
          <w:cols w:space="720"/>
          <w:docGrid w:linePitch="360"/>
        </w:sectPr>
      </w:pP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05</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NutriSync current vs target</w:t>
            </w:r>
          </w:p>
          <w:p>
            <w:pPr>
              <w:keepNext w:val="0"/>
              <w:keepLines w:val="0"/>
              <w:spacing w:before="0" w:after="0" w:line="245" w:lineRule="auto"/>
            </w:pPr>
            <w:r>
              <w:rPr>
                <w:rFonts w:ascii="Inter" w:hAnsi="Inter" w:eastAsia="Inter"/>
                <w:color w:val="6E6E6E"/>
                <w:sz w:val="18"/>
              </w:rPr>
              <w:t>The most important correction: do not present roadmap, pilot and validated capability as the same thing.</w:t>
            </w:r>
          </w:p>
        </w:tc>
      </w:tr>
    </w:tbl>
    <w:p>
      <w:pPr>
        <w:spacing w:after="0"/>
      </w:pPr>
    </w:p>
    <w:p>
      <w:pPr>
        <w:pStyle w:val="Heading2"/>
      </w:pPr>
      <w:r>
        <w:t>Maturity view</w:t>
      </w:r>
    </w:p>
    <w:tbl>
      <w:tblPr>
        <w:tblW w:type="auto" w:w="0"/>
        <w:jc w:val="center"/>
        <w:tblLayout w:type="fixed"/>
        <w:tblLook w:firstColumn="1" w:firstRow="1" w:lastColumn="0" w:lastRow="0" w:noHBand="0" w:noVBand="1" w:val="04A0"/>
      </w:tblPr>
      <w:tblGrid>
        <w:gridCol w:w="2480"/>
        <w:gridCol w:w="2480"/>
        <w:gridCol w:w="2480"/>
        <w:gridCol w:w="2480"/>
      </w:tblGrid>
      <w:tr>
        <w:trPr>
          <w:cantSplit/>
          <w:tblHeader w:val="true"/>
        </w:trPr>
        <w:tc>
          <w:tcPr>
            <w:tcW w:type="dxa" w:w="2098"/>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Capability</w:t>
            </w:r>
          </w:p>
        </w:tc>
        <w:tc>
          <w:tcPr>
            <w:tcW w:type="dxa" w:w="1531"/>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Current maturity</w:t>
            </w:r>
          </w:p>
        </w:tc>
        <w:tc>
          <w:tcPr>
            <w:tcW w:type="dxa" w:w="2891"/>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Current basis</w:t>
            </w:r>
          </w:p>
        </w:tc>
        <w:tc>
          <w:tcPr>
            <w:tcW w:type="dxa" w:w="2665"/>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Evidence still required</w:t>
            </w:r>
          </w:p>
        </w:tc>
      </w:tr>
      <w:tr>
        <w:trPr>
          <w:cantSplit/>
        </w:trPr>
        <w:tc>
          <w:tcPr>
            <w:tcW w:type="dxa" w:w="209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D2C brand and access</w:t>
            </w:r>
          </w:p>
        </w:tc>
        <w:tc>
          <w:tcPr>
            <w:tcW w:type="dxa" w:w="153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Live / pilot</w:t>
            </w:r>
          </w:p>
        </w:tc>
        <w:tc>
          <w:tcPr>
            <w:tcW w:type="dxa" w:w="289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Public website, prototype and pilot recruitment exist.</w:t>
            </w:r>
          </w:p>
        </w:tc>
        <w:tc>
          <w:tcPr>
            <w:tcW w:type="dxa" w:w="266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Activation, retention and paid conversion.</w:t>
            </w:r>
          </w:p>
        </w:tc>
      </w:tr>
      <w:tr>
        <w:trPr>
          <w:cantSplit/>
        </w:trPr>
        <w:tc>
          <w:tcPr>
            <w:tcW w:type="dxa" w:w="209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Privacy, consent and technical minimisation</w:t>
            </w:r>
          </w:p>
        </w:tc>
        <w:tc>
          <w:tcPr>
            <w:tcW w:type="dxa" w:w="153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Implemented in audited pilot build; counsel draft</w:t>
            </w:r>
          </w:p>
        </w:tc>
        <w:tc>
          <w:tcPr>
            <w:tcW w:type="dxa" w:w="289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No active analytics/advertising/tracking SDKs were found; consent and privacy documents are detailed. Controller fields and final counsel sign-off remain.</w:t>
            </w:r>
          </w:p>
        </w:tc>
        <w:tc>
          <w:tcPr>
            <w:tcW w:type="dxa" w:w="266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Operational evidence, DPIA completion, production verification and ongoing change control.</w:t>
            </w:r>
          </w:p>
        </w:tc>
      </w:tr>
      <w:tr>
        <w:trPr>
          <w:cantSplit/>
        </w:trPr>
        <w:tc>
          <w:tcPr>
            <w:tcW w:type="dxa" w:w="209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Integrated cycle, nutrition and movement guidance</w:t>
            </w:r>
          </w:p>
        </w:tc>
        <w:tc>
          <w:tcPr>
            <w:tcW w:type="dxa" w:w="153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Pilot</w:t>
            </w:r>
          </w:p>
        </w:tc>
        <w:tc>
          <w:tcPr>
            <w:tcW w:type="dxa" w:w="289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Product concept and prototype connect cycle context with daily food and movement guidance.</w:t>
            </w:r>
          </w:p>
        </w:tc>
        <w:tc>
          <w:tcPr>
            <w:tcW w:type="dxa" w:w="266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Usability, recommendation relevance and adherence across repeated cycles.</w:t>
            </w:r>
          </w:p>
        </w:tc>
      </w:tr>
      <w:tr>
        <w:trPr>
          <w:cantSplit/>
        </w:trPr>
        <w:tc>
          <w:tcPr>
            <w:tcW w:type="dxa" w:w="209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Adaptive personalisation / AI</w:t>
            </w:r>
          </w:p>
        </w:tc>
        <w:tc>
          <w:tcPr>
            <w:tcW w:type="dxa" w:w="153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Pilot / design</w:t>
            </w:r>
          </w:p>
        </w:tc>
        <w:tc>
          <w:tcPr>
            <w:tcW w:type="dxa" w:w="289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Sense → interpret → recommend → measure → learn is defined as the intended engine.</w:t>
            </w:r>
          </w:p>
        </w:tc>
        <w:tc>
          <w:tcPr>
            <w:tcW w:type="dxa" w:w="266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Demonstrate that recommendations improve versus static phase rules.</w:t>
            </w:r>
          </w:p>
        </w:tc>
      </w:tr>
      <w:tr>
        <w:trPr>
          <w:cantSplit/>
        </w:trPr>
        <w:tc>
          <w:tcPr>
            <w:tcW w:type="dxa" w:w="209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Cycle Alignment and Stability scores</w:t>
            </w:r>
          </w:p>
        </w:tc>
        <w:tc>
          <w:tcPr>
            <w:tcW w:type="dxa" w:w="153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Pilot</w:t>
            </w:r>
          </w:p>
        </w:tc>
        <w:tc>
          <w:tcPr>
            <w:tcW w:type="dxa" w:w="289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Scoring logic and components are documented internally.</w:t>
            </w:r>
          </w:p>
        </w:tc>
        <w:tc>
          <w:tcPr>
            <w:tcW w:type="dxa" w:w="266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Reliability, user comprehension, sensitivity to missing data and non-misleading claims.</w:t>
            </w:r>
          </w:p>
        </w:tc>
      </w:tr>
      <w:tr>
        <w:trPr>
          <w:cantSplit/>
        </w:trPr>
        <w:tc>
          <w:tcPr>
            <w:tcW w:type="dxa" w:w="209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Community and engagement</w:t>
            </w:r>
          </w:p>
        </w:tc>
        <w:tc>
          <w:tcPr>
            <w:tcW w:type="dxa" w:w="153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Pilot</w:t>
            </w:r>
          </w:p>
        </w:tc>
        <w:tc>
          <w:tcPr>
            <w:tcW w:type="dxa" w:w="289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Community, daily feedback and progress experiences are part of the product system.</w:t>
            </w:r>
          </w:p>
        </w:tc>
        <w:tc>
          <w:tcPr>
            <w:tcW w:type="dxa" w:w="266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Safety, moderation, privacy, healthy engagement and retention contribution.</w:t>
            </w:r>
          </w:p>
        </w:tc>
      </w:tr>
      <w:tr>
        <w:trPr>
          <w:cantSplit/>
        </w:trPr>
        <w:tc>
          <w:tcPr>
            <w:tcW w:type="dxa" w:w="209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Clinician / employer / university channels</w:t>
            </w:r>
          </w:p>
        </w:tc>
        <w:tc>
          <w:tcPr>
            <w:tcW w:type="dxa" w:w="153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Outreach / pilot</w:t>
            </w:r>
          </w:p>
        </w:tc>
        <w:tc>
          <w:tcPr>
            <w:tcW w:type="dxa" w:w="289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Partners are part of the go-to-market and ten-types network design.</w:t>
            </w:r>
          </w:p>
        </w:tc>
        <w:tc>
          <w:tcPr>
            <w:tcW w:type="dxa" w:w="266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Signed pilots, activation, partner value, renewal and data-governance agreements.</w:t>
            </w:r>
          </w:p>
        </w:tc>
      </w:tr>
      <w:tr>
        <w:trPr>
          <w:cantSplit/>
        </w:trPr>
        <w:tc>
          <w:tcPr>
            <w:tcW w:type="dxa" w:w="209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Wearables and health-platform integration</w:t>
            </w:r>
          </w:p>
        </w:tc>
        <w:tc>
          <w:tcPr>
            <w:tcW w:type="dxa" w:w="153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Roadmap</w:t>
            </w:r>
          </w:p>
        </w:tc>
        <w:tc>
          <w:tcPr>
            <w:tcW w:type="dxa" w:w="289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The product materials anticipate Apple/Google/Oura-style inputs, but the audited build has no active wearable SDK and the current web state is demonstrative.</w:t>
            </w:r>
          </w:p>
        </w:tc>
        <w:tc>
          <w:tcPr>
            <w:tcW w:type="dxa" w:w="266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Real integration, permissions, data quality, reliability, privacy and value uplift.</w:t>
            </w:r>
          </w:p>
        </w:tc>
      </w:tr>
      <w:tr>
        <w:trPr>
          <w:cantSplit/>
        </w:trPr>
        <w:tc>
          <w:tcPr>
            <w:tcW w:type="dxa" w:w="209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Longitudinal action-response loop</w:t>
            </w:r>
          </w:p>
        </w:tc>
        <w:tc>
          <w:tcPr>
            <w:tcW w:type="dxa" w:w="153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Design hypothesis / early pilot</w:t>
            </w:r>
          </w:p>
        </w:tc>
        <w:tc>
          <w:tcPr>
            <w:tcW w:type="dxa" w:w="289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The intervention-response model is the proposed moat.</w:t>
            </w:r>
          </w:p>
        </w:tc>
        <w:tc>
          <w:tcPr>
            <w:tcW w:type="dxa" w:w="2665"/>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Three-plus-cycle evidence showing useful individual calibration and improved recommendation relevance.</w:t>
            </w:r>
          </w:p>
        </w:tc>
      </w:tr>
      <w:tr>
        <w:trPr>
          <w:cantSplit/>
        </w:trPr>
        <w:tc>
          <w:tcPr>
            <w:tcW w:type="dxa" w:w="209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Predictive hormonal modelling, lab tests and CGM</w:t>
            </w:r>
          </w:p>
        </w:tc>
        <w:tc>
          <w:tcPr>
            <w:tcW w:type="dxa" w:w="153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Later roadmap</w:t>
            </w:r>
          </w:p>
        </w:tc>
        <w:tc>
          <w:tcPr>
            <w:tcW w:type="dxa" w:w="289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Shown in the deep-tech rollout, not as a current product capability.</w:t>
            </w:r>
          </w:p>
        </w:tc>
        <w:tc>
          <w:tcPr>
            <w:tcW w:type="dxa" w:w="2665"/>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Intended-purpose decision, MDR/IVDR assessment, validation and clinical governance before stronger claims.</w:t>
            </w:r>
          </w:p>
        </w:tc>
      </w:tr>
    </w:tbl>
    <w:p>
      <w:pPr>
        <w:pStyle w:val="SmallNote"/>
        <w:keepNext w:val="0"/>
        <w:keepLines w:val="0"/>
        <w:spacing w:before="40" w:after="120" w:line="247" w:lineRule="auto"/>
      </w:pPr>
      <w:r>
        <w:rPr>
          <w:rFonts w:ascii="Inter" w:hAnsi="Inter" w:eastAsia="Inter"/>
          <w:b/>
          <w:color w:val="6E6E6E"/>
          <w:sz w:val="16"/>
        </w:rPr>
        <w:t xml:space="preserve">Source note: </w:t>
      </w:r>
      <w:r>
        <w:rPr>
          <w:rFonts w:ascii="Inter" w:hAnsi="Inter" w:eastAsia="Inter"/>
          <w:color w:val="6E6E6E"/>
          <w:sz w:val="16"/>
        </w:rPr>
        <w:t>Internal maturity is taken from the supplied pitch deck, innovation proposal, prototype descriptions, privacy policy, cookie/SDK inventory and health notice. [I2-I6]</w:t>
      </w:r>
    </w:p>
    <w:p>
      <w:pPr>
        <w:pStyle w:val="Heading2"/>
      </w:pPr>
      <w:r>
        <w:t>What NutriSync can credibly say now</w:t>
      </w:r>
    </w:p>
    <w:p>
      <w:pPr>
        <w:pStyle w:val="ListBullet"/>
        <w:keepNext w:val="0"/>
        <w:keepLines w:val="0"/>
        <w:spacing w:before="0" w:after="60" w:line="259" w:lineRule="auto"/>
      </w:pPr>
      <w:r>
        <w:rPr>
          <w:rFonts w:ascii="Inter" w:hAnsi="Inter" w:eastAsia="Inter"/>
          <w:color w:val="2B2B2B"/>
          <w:sz w:val="19"/>
        </w:rPr>
        <w:t>NutriSync is building an integrated daily wellbeing experience that connects cycle context, nutrition, movement, recovery and self-reported response.</w:t>
      </w:r>
    </w:p>
    <w:p>
      <w:pPr>
        <w:pStyle w:val="ListBullet"/>
        <w:keepNext w:val="0"/>
        <w:keepLines w:val="0"/>
        <w:spacing w:before="0" w:after="60" w:line="259" w:lineRule="auto"/>
      </w:pPr>
      <w:r>
        <w:rPr>
          <w:rFonts w:ascii="Inter" w:hAnsi="Inter" w:eastAsia="Inter"/>
          <w:color w:val="2B2B2B"/>
          <w:sz w:val="19"/>
        </w:rPr>
        <w:t>Its intended personalisation model is based on each user’s baseline and repeated observations rather than only an average 28-day template.</w:t>
      </w:r>
    </w:p>
    <w:p>
      <w:pPr>
        <w:pStyle w:val="ListBullet"/>
        <w:keepNext w:val="0"/>
        <w:keepLines w:val="0"/>
        <w:spacing w:before="0" w:after="60" w:line="259" w:lineRule="auto"/>
      </w:pPr>
      <w:r>
        <w:rPr>
          <w:rFonts w:ascii="Inter" w:hAnsi="Inter" w:eastAsia="Inter"/>
          <w:color w:val="2B2B2B"/>
          <w:sz w:val="19"/>
        </w:rPr>
        <w:t>The pilot has a documented privacy and consent architecture designed for sensitive health data, subject to final legal and operational validation.</w:t>
      </w:r>
    </w:p>
    <w:p>
      <w:pPr>
        <w:pStyle w:val="ListBullet"/>
        <w:keepNext w:val="0"/>
        <w:keepLines w:val="0"/>
        <w:spacing w:before="0" w:after="60" w:line="259" w:lineRule="auto"/>
      </w:pPr>
      <w:r>
        <w:rPr>
          <w:rFonts w:ascii="Inter" w:hAnsi="Inter" w:eastAsia="Inter"/>
          <w:color w:val="2B2B2B"/>
          <w:sz w:val="19"/>
        </w:rPr>
        <w:t>The product is currently positioned as wellbeing software; phases, scores and recommendations are estimates and should not be used for clinical decisions.</w:t>
      </w:r>
    </w:p>
    <w:p>
      <w:pPr>
        <w:pStyle w:val="Heading2"/>
      </w:pPr>
      <w:r>
        <w:t>Claims that need qualification or removal</w:t>
      </w:r>
    </w:p>
    <w:p>
      <w:pPr>
        <w:pStyle w:val="ListBullet"/>
        <w:keepNext w:val="0"/>
        <w:keepLines w:val="0"/>
        <w:spacing w:before="0" w:after="80" w:line="252" w:lineRule="auto"/>
      </w:pPr>
      <w:r>
        <w:rPr>
          <w:rFonts w:ascii="Inter" w:hAnsi="Inter" w:eastAsia="Inter"/>
          <w:b w:val="0"/>
          <w:color w:val="2B2B2B"/>
          <w:sz w:val="19"/>
        </w:rPr>
        <w:t>“NutriSync is the only solution with all capabilities.” Public evidence shows substantial overlap, especially from Wild.AI, Lively, MyFLO, FitrWoman, Ovia, Hormona, 28 and Aluna. As of July-August 2026, 28 and Aluna also publicly advertise AI photo-based meal logging and macro estimation.</w:t>
      </w:r>
    </w:p>
    <w:p>
      <w:pPr>
        <w:pStyle w:val="ListBullet"/>
        <w:keepNext w:val="0"/>
        <w:keepLines w:val="0"/>
        <w:spacing w:before="0" w:after="60" w:line="259" w:lineRule="auto"/>
      </w:pPr>
      <w:r>
        <w:rPr>
          <w:rFonts w:ascii="Inter" w:hAnsi="Inter" w:eastAsia="Inter"/>
          <w:color w:val="2B2B2B"/>
          <w:sz w:val="19"/>
        </w:rPr>
        <w:t>“Competitors cannot buy this dataset and would need five years to build it.” Replication time is not evidenced and large competitors already hold significant longitudinal datasets.</w:t>
      </w:r>
    </w:p>
    <w:p>
      <w:pPr>
        <w:pStyle w:val="ListBullet"/>
        <w:keepNext w:val="0"/>
        <w:keepLines w:val="0"/>
        <w:spacing w:before="0" w:after="60" w:line="259" w:lineRule="auto"/>
      </w:pPr>
      <w:r>
        <w:rPr>
          <w:rFonts w:ascii="Inter" w:hAnsi="Inter" w:eastAsia="Inter"/>
          <w:color w:val="2B2B2B"/>
          <w:sz w:val="19"/>
        </w:rPr>
        <w:t>“Every user creates a unique hormonal data signature.” The current pilot mainly observes cycle, symptom, nutrition, movement and selected biometrics; it does not directly measure a complete hormonal signature.</w:t>
      </w:r>
    </w:p>
    <w:p>
      <w:pPr>
        <w:pStyle w:val="ListBullet"/>
        <w:keepNext w:val="0"/>
        <w:keepLines w:val="0"/>
        <w:spacing w:before="0" w:after="60" w:line="259" w:lineRule="auto"/>
      </w:pPr>
      <w:r>
        <w:rPr>
          <w:rFonts w:ascii="Inter" w:hAnsi="Inter" w:eastAsia="Inter"/>
          <w:color w:val="2B2B2B"/>
          <w:sz w:val="19"/>
        </w:rPr>
        <w:t>“Predictive hormonal modelling” as a current feature. It belongs in a gated roadmap and may alter the regulatory position.</w:t>
      </w:r>
    </w:p>
    <w:p>
      <w:pPr>
        <w:pStyle w:val="ListBullet"/>
        <w:keepNext w:val="0"/>
        <w:keepLines w:val="0"/>
        <w:spacing w:before="0" w:after="60" w:line="259" w:lineRule="auto"/>
      </w:pPr>
      <w:r>
        <w:rPr>
          <w:rFonts w:ascii="Inter" w:hAnsi="Inter" w:eastAsia="Inter"/>
          <w:color w:val="2B2B2B"/>
          <w:sz w:val="19"/>
        </w:rPr>
        <w:t>Medical or outcome claims based only on phase alignment. Research shows substantial cycle variability and heterogeneous, often low-quality evidence for universal exercise prescriptions. [E19R-E20R]</w:t>
      </w: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06</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Defensible differentiation</w:t>
            </w:r>
          </w:p>
          <w:p>
            <w:pPr>
              <w:keepNext w:val="0"/>
              <w:keepLines w:val="0"/>
              <w:spacing w:before="0" w:after="0" w:line="245" w:lineRule="auto"/>
            </w:pPr>
            <w:r>
              <w:rPr>
                <w:rFonts w:ascii="Inter" w:hAnsi="Inter" w:eastAsia="Inter"/>
                <w:color w:val="6E6E6E"/>
                <w:sz w:val="18"/>
              </w:rPr>
              <w:t>The distinction is not the existence of each feature; it is how the system learns across them.</w:t>
            </w:r>
          </w:p>
        </w:tc>
      </w:tr>
    </w:tbl>
    <w:p>
      <w:pPr>
        <w:spacing w:after="0"/>
      </w:pPr>
    </w:p>
    <w:p>
      <w:pPr>
        <w:jc w:val="center"/>
      </w:pPr>
      <w:r>
        <w:drawing>
          <wp:inline xmlns:a="http://schemas.openxmlformats.org/drawingml/2006/main" xmlns:pic="http://schemas.openxmlformats.org/drawingml/2006/picture">
            <wp:extent cx="6012000" cy="2624775"/>
            <wp:docPr id="3" name="Picture 3" title="Market evolution diagram" descr="Three-step diagram from tracking and prediction to phase-based guidance and then individual action-response learning."/>
            <wp:cNvGraphicFramePr>
              <a:graphicFrameLocks noChangeAspect="1"/>
            </wp:cNvGraphicFramePr>
            <a:graphic>
              <a:graphicData uri="http://schemas.openxmlformats.org/drawingml/2006/picture">
                <pic:pic>
                  <pic:nvPicPr>
                    <pic:cNvPr id="0" name="market_evolution.png"/>
                    <pic:cNvPicPr/>
                  </pic:nvPicPr>
                  <pic:blipFill>
                    <a:blip r:embed="rId19"/>
                    <a:stretch>
                      <a:fillRect/>
                    </a:stretch>
                  </pic:blipFill>
                  <pic:spPr>
                    <a:xfrm>
                      <a:off x="0" y="0"/>
                      <a:ext cx="6012000" cy="2624775"/>
                    </a:xfrm>
                    <a:prstGeom prst="rect"/>
                  </pic:spPr>
                </pic:pic>
              </a:graphicData>
            </a:graphic>
          </wp:inline>
        </w:drawing>
      </w:r>
    </w:p>
    <w:p>
      <w:pPr>
        <w:pStyle w:val="Heading2"/>
      </w:pPr>
      <w:r>
        <w:t>The proposed segment-of-one loop</w:t>
      </w:r>
    </w:p>
    <w:tbl>
      <w:tblPr>
        <w:tblW w:type="auto" w:w="0"/>
        <w:tblLook w:firstColumn="1" w:firstRow="1" w:lastColumn="0" w:lastRow="0" w:noHBand="0" w:noVBand="1" w:val="04A0"/>
      </w:tblPr>
      <w:tblGrid>
        <w:gridCol w:w="1984"/>
        <w:gridCol w:w="1984"/>
        <w:gridCol w:w="1984"/>
        <w:gridCol w:w="1984"/>
        <w:gridCol w:w="1984"/>
      </w:tblGrid>
      <w:tr>
        <w:tc>
          <w:tcPr>
            <w:tcW w:type="dxa" w:w="1984"/>
            <w:shd w:fill="E7EDF3"/>
            <w:tcMar>
              <w:top w:w="120" w:type="dxa"/>
              <w:start w:w="100" w:type="dxa"/>
              <w:bottom w:w="120" w:type="dxa"/>
              <w:end w:w="100" w:type="dxa"/>
            </w:tcMar>
            <w:tcBorders>
              <w:top w:val="single" w:sz="4" w:color="E9E7E4"/>
              <w:start w:val="single" w:sz="4" w:color="E9E7E4"/>
              <w:bottom w:val="single" w:sz="4" w:color="E9E7E4"/>
              <w:end w:val="single" w:sz="4" w:color="E9E7E4"/>
            </w:tcBorders>
          </w:tcPr>
          <w:p>
            <w:pPr>
              <w:jc w:val="center"/>
            </w:pPr>
            <w:r>
              <w:rPr>
                <w:rFonts w:ascii="Inter Display" w:hAnsi="Inter Display" w:eastAsia="Inter Display"/>
                <w:b/>
                <w:color w:val="5D7692"/>
                <w:sz w:val="19"/>
              </w:rPr>
              <w:t>1. SENSE</w:t>
            </w:r>
          </w:p>
          <w:p>
            <w:pPr>
              <w:keepNext w:val="0"/>
              <w:keepLines w:val="0"/>
              <w:spacing w:before="0" w:after="0" w:line="247" w:lineRule="auto"/>
              <w:jc w:val="center"/>
            </w:pPr>
            <w:r>
              <w:rPr>
                <w:rFonts w:ascii="Inter" w:hAnsi="Inter" w:eastAsia="Inter"/>
                <w:color w:val="2B2B2B"/>
                <w:sz w:val="16"/>
              </w:rPr>
              <w:t>Cycle, symptoms, nutrition, movement, recovery and optional biometrics.</w:t>
            </w:r>
          </w:p>
        </w:tc>
        <w:tc>
          <w:tcPr>
            <w:tcW w:type="dxa" w:w="1984"/>
            <w:shd w:fill="F7EBD9"/>
            <w:tcMar>
              <w:top w:w="120" w:type="dxa"/>
              <w:start w:w="100" w:type="dxa"/>
              <w:bottom w:w="120" w:type="dxa"/>
              <w:end w:w="100" w:type="dxa"/>
            </w:tcMar>
            <w:tcBorders>
              <w:top w:val="single" w:sz="4" w:color="E9E7E4"/>
              <w:start w:val="single" w:sz="4" w:color="E9E7E4"/>
              <w:bottom w:val="single" w:sz="4" w:color="E9E7E4"/>
              <w:end w:val="single" w:sz="4" w:color="E9E7E4"/>
            </w:tcBorders>
          </w:tcPr>
          <w:p>
            <w:pPr>
              <w:jc w:val="center"/>
            </w:pPr>
            <w:r>
              <w:rPr>
                <w:rFonts w:ascii="Inter Display" w:hAnsi="Inter Display" w:eastAsia="Inter Display"/>
                <w:b/>
                <w:color w:val="9B672E"/>
                <w:sz w:val="19"/>
              </w:rPr>
              <w:t>2. INTERPRET</w:t>
            </w:r>
          </w:p>
          <w:p>
            <w:pPr>
              <w:keepNext w:val="0"/>
              <w:keepLines w:val="0"/>
              <w:spacing w:before="0" w:after="0" w:line="247" w:lineRule="auto"/>
              <w:jc w:val="center"/>
            </w:pPr>
            <w:r>
              <w:rPr>
                <w:rFonts w:ascii="Inter" w:hAnsi="Inter" w:eastAsia="Inter"/>
                <w:color w:val="2B2B2B"/>
                <w:sz w:val="16"/>
              </w:rPr>
              <w:t>Build and update a personal baseline; express confidence and uncertainty.</w:t>
            </w:r>
          </w:p>
        </w:tc>
        <w:tc>
          <w:tcPr>
            <w:tcW w:type="dxa" w:w="1984"/>
            <w:shd w:fill="FCE4DF"/>
            <w:tcMar>
              <w:top w:w="120" w:type="dxa"/>
              <w:start w:w="100" w:type="dxa"/>
              <w:bottom w:w="120" w:type="dxa"/>
              <w:end w:w="100" w:type="dxa"/>
            </w:tcMar>
            <w:tcBorders>
              <w:top w:val="single" w:sz="4" w:color="E9E7E4"/>
              <w:start w:val="single" w:sz="4" w:color="E9E7E4"/>
              <w:bottom w:val="single" w:sz="4" w:color="E9E7E4"/>
              <w:end w:val="single" w:sz="4" w:color="E9E7E4"/>
            </w:tcBorders>
          </w:tcPr>
          <w:p>
            <w:pPr>
              <w:jc w:val="center"/>
            </w:pPr>
            <w:r>
              <w:rPr>
                <w:rFonts w:ascii="Inter Display" w:hAnsi="Inter Display" w:eastAsia="Inter Display"/>
                <w:b/>
                <w:color w:val="C94334"/>
                <w:sz w:val="19"/>
              </w:rPr>
              <w:t>3. RECOMMEND</w:t>
            </w:r>
          </w:p>
          <w:p>
            <w:pPr>
              <w:keepNext w:val="0"/>
              <w:keepLines w:val="0"/>
              <w:spacing w:before="0" w:after="0" w:line="247" w:lineRule="auto"/>
              <w:jc w:val="center"/>
            </w:pPr>
            <w:r>
              <w:rPr>
                <w:rFonts w:ascii="Inter" w:hAnsi="Inter" w:eastAsia="Inter"/>
                <w:color w:val="2B2B2B"/>
                <w:sz w:val="16"/>
              </w:rPr>
              <w:t>Select one or a small number of explainable actions for this user.</w:t>
            </w:r>
          </w:p>
        </w:tc>
        <w:tc>
          <w:tcPr>
            <w:tcW w:type="dxa" w:w="1984"/>
            <w:shd w:fill="E5EFEA"/>
            <w:tcMar>
              <w:top w:w="120" w:type="dxa"/>
              <w:start w:w="100" w:type="dxa"/>
              <w:bottom w:w="120" w:type="dxa"/>
              <w:end w:w="100" w:type="dxa"/>
            </w:tcMar>
            <w:tcBorders>
              <w:top w:val="single" w:sz="4" w:color="E9E7E4"/>
              <w:start w:val="single" w:sz="4" w:color="E9E7E4"/>
              <w:bottom w:val="single" w:sz="4" w:color="E9E7E4"/>
              <w:end w:val="single" w:sz="4" w:color="E9E7E4"/>
            </w:tcBorders>
          </w:tcPr>
          <w:p>
            <w:pPr>
              <w:jc w:val="center"/>
            </w:pPr>
            <w:r>
              <w:rPr>
                <w:rFonts w:ascii="Inter Display" w:hAnsi="Inter Display" w:eastAsia="Inter Display"/>
                <w:b/>
                <w:color w:val="6B8E7D"/>
                <w:sz w:val="19"/>
              </w:rPr>
              <w:t>4. MEASURE</w:t>
            </w:r>
          </w:p>
          <w:p>
            <w:pPr>
              <w:keepNext w:val="0"/>
              <w:keepLines w:val="0"/>
              <w:spacing w:before="0" w:after="0" w:line="247" w:lineRule="auto"/>
              <w:jc w:val="center"/>
            </w:pPr>
            <w:r>
              <w:rPr>
                <w:rFonts w:ascii="Inter" w:hAnsi="Inter" w:eastAsia="Inter"/>
                <w:color w:val="2B2B2B"/>
                <w:sz w:val="16"/>
              </w:rPr>
              <w:t>Capture whether the action was taken, adherence level and observed response.</w:t>
            </w:r>
          </w:p>
        </w:tc>
        <w:tc>
          <w:tcPr>
            <w:tcW w:type="dxa" w:w="1984"/>
            <w:shd w:fill="F6F4F1"/>
            <w:tcMar>
              <w:top w:w="120" w:type="dxa"/>
              <w:start w:w="100" w:type="dxa"/>
              <w:bottom w:w="120" w:type="dxa"/>
              <w:end w:w="100" w:type="dxa"/>
            </w:tcMar>
            <w:tcBorders>
              <w:top w:val="single" w:sz="4" w:color="E9E7E4"/>
              <w:start w:val="single" w:sz="4" w:color="E9E7E4"/>
              <w:bottom w:val="single" w:sz="4" w:color="E9E7E4"/>
              <w:end w:val="single" w:sz="4" w:color="E9E7E4"/>
            </w:tcBorders>
          </w:tcPr>
          <w:p>
            <w:pPr>
              <w:jc w:val="center"/>
            </w:pPr>
            <w:r>
              <w:rPr>
                <w:rFonts w:ascii="Inter Display" w:hAnsi="Inter Display" w:eastAsia="Inter Display"/>
                <w:b/>
                <w:color w:val="231F20"/>
                <w:sz w:val="19"/>
              </w:rPr>
              <w:t>5. LEARN</w:t>
            </w:r>
          </w:p>
          <w:p>
            <w:pPr>
              <w:keepNext w:val="0"/>
              <w:keepLines w:val="0"/>
              <w:spacing w:before="0" w:after="0" w:line="247" w:lineRule="auto"/>
              <w:jc w:val="center"/>
            </w:pPr>
            <w:r>
              <w:rPr>
                <w:rFonts w:ascii="Inter" w:hAnsi="Inter" w:eastAsia="Inter"/>
                <w:color w:val="2B2B2B"/>
                <w:sz w:val="16"/>
              </w:rPr>
              <w:t>Recalibrate the next recommendation based on the individual pattern.</w:t>
            </w:r>
          </w:p>
        </w:tc>
      </w:tr>
    </w:tbl>
    <w:p>
      <w:pPr>
        <w:pStyle w:val="Heading2"/>
      </w:pPr>
      <w:r>
        <w:t>Why this could matter</w:t>
      </w:r>
    </w:p>
    <w:p>
      <w:pPr>
        <w:keepNext w:val="0"/>
        <w:keepLines w:val="0"/>
        <w:spacing w:before="0" w:after="120" w:line="269" w:lineRule="auto"/>
      </w:pPr>
      <w:r>
        <w:rPr>
          <w:rFonts w:ascii="Inter" w:hAnsi="Inter" w:eastAsia="Inter"/>
          <w:color w:val="2B2B2B"/>
          <w:sz w:val="20"/>
        </w:rPr>
        <w:t>Phase-based content can be copied. A well-instrumented history of which actions were recommended, which were followed, what the user reported next, and how the next decision improved is harder to reproduce because its value compounds through repeated use. The defensibility comes from measured response and calibration quality, not simply from collecting more sensitive data. [I2]</w:t>
      </w:r>
    </w:p>
    <w:tbl>
      <w:tblPr>
        <w:tblW w:type="auto" w:w="0"/>
        <w:jc w:val="center"/>
        <w:tblLayout w:type="fixed"/>
        <w:tblLook w:firstColumn="1" w:firstRow="1" w:lastColumn="0" w:lastRow="0" w:noHBand="0" w:noVBand="1" w:val="04A0"/>
      </w:tblPr>
      <w:tblGrid>
        <w:gridCol w:w="255"/>
        <w:gridCol w:w="9184"/>
      </w:tblGrid>
      <w:tr>
        <w:tc>
          <w:tcPr>
            <w:tcW w:type="dxa" w:w="4961"/>
            <w:shd w:fill="E6A25A"/>
            <w:tcMar>
              <w:top w:w="120" w:type="dxa"/>
              <w:start w:w="110" w:type="dxa"/>
              <w:bottom w:w="120" w:type="dxa"/>
              <w:end w:w="110" w:type="dxa"/>
            </w:tcMar>
            <w:tcBorders>
              <w:top w:val="nil"/>
              <w:start w:val="nil"/>
              <w:bottom w:val="nil"/>
              <w:end w:val="nil"/>
            </w:tcBorders>
            <w:vAlign w:val="center"/>
          </w:tcPr>
          <w:p/>
        </w:tc>
        <w:tc>
          <w:tcPr>
            <w:tcW w:type="dxa" w:w="4961"/>
            <w:shd w:fill="F7EBD9"/>
            <w:tcMar>
              <w:top w:w="120" w:type="dxa"/>
              <w:start w:w="110" w:type="dxa"/>
              <w:bottom w:w="120" w:type="dxa"/>
              <w:end w:w="110" w:type="dxa"/>
            </w:tcMar>
            <w:tcBorders>
              <w:top w:val="nil"/>
              <w:start w:val="nil"/>
              <w:bottom w:val="nil"/>
              <w:end w:val="nil"/>
            </w:tcBorders>
            <w:vAlign w:val="center"/>
          </w:tcPr>
          <w:p>
            <w:pPr>
              <w:keepNext w:val="0"/>
              <w:keepLines w:val="0"/>
              <w:spacing w:before="0" w:after="40" w:line="240" w:lineRule="auto"/>
            </w:pPr>
            <w:r>
              <w:rPr>
                <w:rFonts w:ascii="Inter Display" w:hAnsi="Inter Display" w:eastAsia="Inter Display"/>
                <w:b/>
                <w:color w:val="E6A25A"/>
                <w:sz w:val="22"/>
              </w:rPr>
              <w:t>Hard truth</w:t>
            </w:r>
          </w:p>
          <w:p>
            <w:pPr>
              <w:keepNext w:val="0"/>
              <w:keepLines w:val="0"/>
              <w:spacing w:before="0" w:after="0" w:line="259" w:lineRule="auto"/>
            </w:pPr>
            <w:r>
              <w:rPr>
                <w:rFonts w:ascii="Inter" w:hAnsi="Inter" w:eastAsia="Inter"/>
                <w:color w:val="2B2B2B"/>
                <w:sz w:val="19"/>
              </w:rPr>
              <w:t>Until NutriSync can show that the next recommendation becomes more relevant because of prior action-response evidence, the “learning loop” is a product design thesis, not a moat.</w:t>
            </w:r>
          </w:p>
        </w:tc>
      </w:tr>
    </w:tbl>
    <w:p>
      <w:pPr>
        <w:spacing w:after="20"/>
      </w:pPr>
    </w:p>
    <w:p>
      <w:pPr>
        <w:pStyle w:val="Heading2"/>
      </w:pPr>
      <w:r>
        <w:t>Design principles for a credible loop</w:t>
      </w:r>
    </w:p>
    <w:p>
      <w:pPr>
        <w:pStyle w:val="ListBullet"/>
        <w:keepNext w:val="0"/>
        <w:keepLines w:val="0"/>
        <w:spacing w:before="0" w:after="60" w:line="259" w:lineRule="auto"/>
      </w:pPr>
      <w:r>
        <w:rPr>
          <w:rFonts w:ascii="Inter" w:hAnsi="Inter" w:eastAsia="Inter"/>
          <w:color w:val="2B2B2B"/>
          <w:sz w:val="19"/>
        </w:rPr>
        <w:t>Prefer small, explainable recommendations over opaque bundles of advice.</w:t>
      </w:r>
    </w:p>
    <w:p>
      <w:pPr>
        <w:pStyle w:val="ListBullet"/>
        <w:keepNext w:val="0"/>
        <w:keepLines w:val="0"/>
        <w:spacing w:before="0" w:after="60" w:line="259" w:lineRule="auto"/>
      </w:pPr>
      <w:r>
        <w:rPr>
          <w:rFonts w:ascii="Inter" w:hAnsi="Inter" w:eastAsia="Inter"/>
          <w:color w:val="2B2B2B"/>
          <w:sz w:val="19"/>
        </w:rPr>
        <w:t>Record recommendation, action, adherence and response as separate events.</w:t>
      </w:r>
    </w:p>
    <w:p>
      <w:pPr>
        <w:pStyle w:val="ListBullet"/>
        <w:keepNext w:val="0"/>
        <w:keepLines w:val="0"/>
        <w:spacing w:before="0" w:after="60" w:line="259" w:lineRule="auto"/>
      </w:pPr>
      <w:r>
        <w:rPr>
          <w:rFonts w:ascii="Inter" w:hAnsi="Inter" w:eastAsia="Inter"/>
          <w:color w:val="2B2B2B"/>
          <w:sz w:val="19"/>
        </w:rPr>
        <w:t>Use confidence bands and allow “not enough data” rather than false precision.</w:t>
      </w:r>
    </w:p>
    <w:p>
      <w:pPr>
        <w:pStyle w:val="ListBullet"/>
        <w:keepNext w:val="0"/>
        <w:keepLines w:val="0"/>
        <w:spacing w:before="0" w:after="60" w:line="259" w:lineRule="auto"/>
      </w:pPr>
      <w:r>
        <w:rPr>
          <w:rFonts w:ascii="Inter" w:hAnsi="Inter" w:eastAsia="Inter"/>
          <w:color w:val="2B2B2B"/>
          <w:sz w:val="19"/>
        </w:rPr>
        <w:t>Compare the user with her own baseline and prior cycles, not an idealised average cycle.</w:t>
      </w:r>
    </w:p>
    <w:p>
      <w:pPr>
        <w:pStyle w:val="ListBullet"/>
        <w:keepNext w:val="0"/>
        <w:keepLines w:val="0"/>
        <w:spacing w:before="0" w:after="60" w:line="259" w:lineRule="auto"/>
      </w:pPr>
      <w:r>
        <w:rPr>
          <w:rFonts w:ascii="Inter" w:hAnsi="Inter" w:eastAsia="Inter"/>
          <w:color w:val="2B2B2B"/>
          <w:sz w:val="19"/>
        </w:rPr>
        <w:t>Avoid inferring causality from one change; look for repeated within-person patterns and confounders.</w:t>
      </w:r>
    </w:p>
    <w:p>
      <w:pPr>
        <w:pStyle w:val="ListBullet"/>
        <w:keepNext w:val="0"/>
        <w:keepLines w:val="0"/>
        <w:spacing w:before="0" w:after="60" w:line="259" w:lineRule="auto"/>
      </w:pPr>
      <w:r>
        <w:rPr>
          <w:rFonts w:ascii="Inter" w:hAnsi="Inter" w:eastAsia="Inter"/>
          <w:color w:val="2B2B2B"/>
          <w:sz w:val="19"/>
        </w:rPr>
        <w:t>Keep medical escalation and safety boundaries separate from wellbeing personalisation.</w:t>
      </w:r>
    </w:p>
    <w:p>
      <w:pPr>
        <w:pStyle w:val="ListBullet"/>
        <w:keepNext w:val="0"/>
        <w:keepLines w:val="0"/>
        <w:spacing w:before="0" w:after="60" w:line="259" w:lineRule="auto"/>
      </w:pPr>
      <w:r>
        <w:rPr>
          <w:rFonts w:ascii="Inter" w:hAnsi="Inter" w:eastAsia="Inter"/>
          <w:color w:val="2B2B2B"/>
          <w:sz w:val="19"/>
        </w:rPr>
        <w:t>Minimise data collection and make optional sources genuinely optional.</w:t>
      </w: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07</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Revised investor slide</w:t>
            </w:r>
          </w:p>
          <w:p>
            <w:pPr>
              <w:keepNext w:val="0"/>
              <w:keepLines w:val="0"/>
              <w:spacing w:before="0" w:after="0" w:line="245" w:lineRule="auto"/>
            </w:pPr>
            <w:r>
              <w:rPr>
                <w:rFonts w:ascii="Inter" w:hAnsi="Inter" w:eastAsia="Inter"/>
                <w:color w:val="6E6E6E"/>
                <w:sz w:val="18"/>
              </w:rPr>
              <w:t>A stronger story is more credible because it acknowledges category progress and focuses the claim on what NutriSync still has to prove.</w:t>
            </w:r>
          </w:p>
        </w:tc>
      </w:tr>
    </w:tbl>
    <w:p>
      <w:pPr>
        <w:spacing w:after="0"/>
      </w:pPr>
    </w:p>
    <w:p>
      <w:pPr>
        <w:pStyle w:val="Heading2"/>
      </w:pPr>
      <w:r>
        <w:t>Recommended slide copy</w:t>
      </w:r>
    </w:p>
    <w:tbl>
      <w:tblPr>
        <w:tblW w:type="auto" w:w="0"/>
        <w:tblLook w:firstColumn="1" w:firstRow="1" w:lastColumn="0" w:lastRow="0" w:noHBand="0" w:noVBand="1" w:val="04A0"/>
      </w:tblPr>
      <w:tblGrid>
        <w:gridCol w:w="9922"/>
      </w:tblGrid>
      <w:tr>
        <w:tc>
          <w:tcPr>
            <w:tcW w:type="dxa" w:w="9922"/>
            <w:shd w:fill="231F20"/>
            <w:tcMar>
              <w:top w:w="220" w:type="dxa"/>
              <w:start w:w="260" w:type="dxa"/>
              <w:bottom w:w="220" w:type="dxa"/>
              <w:end w:w="260" w:type="dxa"/>
            </w:tcMar>
            <w:tcBorders>
              <w:top w:val="nil"/>
              <w:start w:val="nil"/>
              <w:bottom w:val="nil"/>
              <w:end w:val="nil"/>
            </w:tcBorders>
          </w:tcPr>
          <w:p>
            <w:r>
              <w:rPr>
                <w:rFonts w:ascii="Inter Display" w:hAnsi="Inter Display" w:eastAsia="Inter Display"/>
                <w:b/>
                <w:color w:val="FFFFFF"/>
                <w:sz w:val="38"/>
              </w:rPr>
              <w:t>FROM CYCLE CONTENT TO INDIVIDUAL LEARNING</w:t>
            </w:r>
          </w:p>
          <w:p>
            <w:pPr>
              <w:keepNext w:val="0"/>
              <w:keepLines w:val="0"/>
              <w:spacing w:before="0" w:after="200" w:line="252" w:lineRule="auto"/>
            </w:pPr>
            <w:r>
              <w:rPr>
                <w:rFonts w:ascii="Inter" w:hAnsi="Inter" w:eastAsia="Inter"/>
                <w:color w:val="F7D0C7"/>
                <w:sz w:val="22"/>
              </w:rPr>
              <w:t>NutriSync is designed to learn which nutrition, movement and recovery actions work for each person across cycles.</w:t>
            </w:r>
          </w:p>
          <w:tbl>
            <w:tblPr>
              <w:tblW w:type="auto" w:w="0"/>
              <w:tblLook w:firstColumn="1" w:firstRow="1" w:lastColumn="0" w:lastRow="0" w:noHBand="0" w:noVBand="1" w:val="04A0"/>
            </w:tblPr>
            <w:tblGrid>
              <w:gridCol w:w="3307"/>
              <w:gridCol w:w="3307"/>
              <w:gridCol w:w="3307"/>
            </w:tblGrid>
            <w:tr>
              <w:tc>
                <w:tcPr>
                  <w:tcW w:type="dxa" w:w="3307"/>
                  <w:shd w:fill="E7EDF3"/>
                  <w:tcMar>
                    <w:top w:w="140" w:type="dxa"/>
                    <w:start w:w="110" w:type="dxa"/>
                    <w:bottom w:w="140" w:type="dxa"/>
                    <w:end w:w="110" w:type="dxa"/>
                  </w:tcMar>
                  <w:tcBorders>
                    <w:top w:val="single" w:sz="4" w:color="FFFFFF"/>
                    <w:start w:val="single" w:sz="4" w:color="FFFFFF"/>
                    <w:bottom w:val="single" w:sz="4" w:color="FFFFFF"/>
                    <w:end w:val="single" w:sz="4" w:color="FFFFFF"/>
                  </w:tcBorders>
                </w:tcPr>
                <w:p>
                  <w:pPr>
                    <w:jc w:val="center"/>
                  </w:pPr>
                  <w:r>
                    <w:rPr>
                      <w:rFonts w:ascii="Inter Display" w:hAnsi="Inter Display" w:eastAsia="Inter Display"/>
                      <w:b/>
                      <w:color w:val="5D7692"/>
                      <w:sz w:val="18"/>
                    </w:rPr>
                    <w:t>TRACK AND PREDICT</w:t>
                  </w:r>
                </w:p>
                <w:p>
                  <w:pPr>
                    <w:keepNext w:val="0"/>
                    <w:keepLines w:val="0"/>
                    <w:spacing w:before="0" w:after="0" w:line="245" w:lineRule="auto"/>
                    <w:jc w:val="center"/>
                  </w:pPr>
                  <w:r>
                    <w:rPr>
                      <w:rFonts w:ascii="Inter" w:hAnsi="Inter" w:eastAsia="Inter"/>
                      <w:color w:val="2B2B2B"/>
                      <w:sz w:val="16"/>
                    </w:rPr>
                    <w:t>Flo · Clue · Ovia · Natural Cycles</w:t>
                  </w:r>
                </w:p>
              </w:tc>
              <w:tc>
                <w:tcPr>
                  <w:tcW w:type="dxa" w:w="3307"/>
                  <w:shd w:fill="F7EBD9"/>
                  <w:tcMar>
                    <w:top w:w="140" w:type="dxa"/>
                    <w:start w:w="110" w:type="dxa"/>
                    <w:bottom w:w="140" w:type="dxa"/>
                    <w:end w:w="110" w:type="dxa"/>
                  </w:tcMar>
                  <w:tcBorders>
                    <w:top w:val="single" w:sz="4" w:color="FFFFFF"/>
                    <w:start w:val="single" w:sz="4" w:color="FFFFFF"/>
                    <w:bottom w:val="single" w:sz="4" w:color="FFFFFF"/>
                    <w:end w:val="single" w:sz="4" w:color="FFFFFF"/>
                  </w:tcBorders>
                </w:tcPr>
                <w:p>
                  <w:pPr>
                    <w:jc w:val="center"/>
                  </w:pPr>
                  <w:r>
                    <w:rPr>
                      <w:rFonts w:ascii="Inter Display" w:hAnsi="Inter Display" w:eastAsia="Inter Display"/>
                      <w:b/>
                      <w:color w:val="9B672E"/>
                      <w:sz w:val="18"/>
                    </w:rPr>
                    <w:t>PERSONALISE BY PHASE</w:t>
                  </w:r>
                </w:p>
                <w:p>
                  <w:pPr>
                    <w:keepNext w:val="0"/>
                    <w:keepLines w:val="0"/>
                    <w:spacing w:before="0" w:after="0" w:line="245" w:lineRule="auto"/>
                    <w:jc w:val="center"/>
                  </w:pPr>
                  <w:r>
                    <w:rPr>
                      <w:rFonts w:ascii="Inter" w:hAnsi="Inter" w:eastAsia="Inter"/>
                      <w:color w:val="2B2B2B"/>
                      <w:sz w:val="16"/>
                    </w:rPr>
                    <w:t>MyFLO · 28 · Lively · FitrWoman · Wild.AI</w:t>
                  </w:r>
                </w:p>
              </w:tc>
              <w:tc>
                <w:tcPr>
                  <w:tcW w:type="dxa" w:w="3307"/>
                  <w:shd w:fill="FCE4DF"/>
                  <w:tcMar>
                    <w:top w:w="140" w:type="dxa"/>
                    <w:start w:w="110" w:type="dxa"/>
                    <w:bottom w:w="140" w:type="dxa"/>
                    <w:end w:w="110" w:type="dxa"/>
                  </w:tcMar>
                  <w:tcBorders>
                    <w:top w:val="single" w:sz="4" w:color="FFFFFF"/>
                    <w:start w:val="single" w:sz="4" w:color="FFFFFF"/>
                    <w:bottom w:val="single" w:sz="4" w:color="FFFFFF"/>
                    <w:end w:val="single" w:sz="4" w:color="FFFFFF"/>
                  </w:tcBorders>
                </w:tcPr>
                <w:p>
                  <w:pPr>
                    <w:jc w:val="center"/>
                  </w:pPr>
                  <w:r>
                    <w:rPr>
                      <w:rFonts w:ascii="Inter Display" w:hAnsi="Inter Display" w:eastAsia="Inter Display"/>
                      <w:b/>
                      <w:color w:val="C94334"/>
                      <w:sz w:val="18"/>
                    </w:rPr>
                    <w:t>LEARN FROM RESPONSE</w:t>
                  </w:r>
                </w:p>
                <w:p>
                  <w:pPr>
                    <w:keepNext w:val="0"/>
                    <w:keepLines w:val="0"/>
                    <w:spacing w:before="0" w:after="0" w:line="245" w:lineRule="auto"/>
                    <w:jc w:val="center"/>
                  </w:pPr>
                  <w:r>
                    <w:rPr>
                      <w:rFonts w:ascii="Inter" w:hAnsi="Inter" w:eastAsia="Inter"/>
                      <w:color w:val="2B2B2B"/>
                      <w:sz w:val="16"/>
                    </w:rPr>
                    <w:t>NutriSync target proposition</w:t>
                  </w:r>
                </w:p>
              </w:tc>
            </w:tr>
          </w:tbl>
          <w:p/>
          <w:p>
            <w:pPr>
              <w:keepNext w:val="0"/>
              <w:keepLines w:val="0"/>
              <w:spacing w:before="240" w:after="40" w:line="240" w:lineRule="auto"/>
            </w:pPr>
            <w:r>
              <w:rPr>
                <w:rFonts w:ascii="Inter Display" w:hAnsi="Inter Display" w:eastAsia="Inter Display"/>
                <w:b/>
                <w:color w:val="E6A25A"/>
                <w:sz w:val="19"/>
              </w:rPr>
              <w:t>THE DIFFERENTIATING PROCESS</w:t>
            </w:r>
          </w:p>
          <w:p>
            <w:pPr>
              <w:keepNext w:val="0"/>
              <w:keepLines w:val="0"/>
              <w:spacing w:before="0" w:after="40" w:line="252" w:lineRule="auto"/>
              <w:jc w:val="center"/>
            </w:pPr>
            <w:r>
              <w:rPr>
                <w:rFonts w:ascii="Inter Display" w:hAnsi="Inter Display" w:eastAsia="Inter Display"/>
                <w:b/>
                <w:color w:val="FFFFFF"/>
                <w:sz w:val="24"/>
              </w:rPr>
              <w:t>SENSE  →  INTERPRET  →  RECOMMEND  →  MEASURE  →  LEARN</w:t>
            </w:r>
          </w:p>
          <w:p>
            <w:pPr>
              <w:keepNext w:val="0"/>
              <w:keepLines w:val="0"/>
              <w:spacing w:before="0" w:after="0" w:line="245" w:lineRule="auto"/>
              <w:jc w:val="center"/>
            </w:pPr>
            <w:r>
              <w:rPr>
                <w:rFonts w:ascii="Inter" w:hAnsi="Inter" w:eastAsia="Inter"/>
                <w:i/>
                <w:color w:val="D8D5D2"/>
                <w:sz w:val="17"/>
              </w:rPr>
              <w:t>Design proposition today. Competitive advantage only when longitudinal evidence validates it.</w:t>
            </w:r>
          </w:p>
        </w:tc>
      </w:tr>
    </w:tbl>
    <w:p>
      <w:pPr>
        <w:pStyle w:val="Heading2"/>
      </w:pPr>
      <w:r>
        <w:t>Recommended supporting capability architecture</w:t>
      </w:r>
    </w:p>
    <w:tbl>
      <w:tblPr>
        <w:tblW w:type="auto" w:w="0"/>
        <w:tblLook w:firstColumn="1" w:firstRow="1" w:lastColumn="0" w:lastRow="0" w:noHBand="0" w:noVBand="1" w:val="04A0"/>
      </w:tblPr>
      <w:tblGrid>
        <w:gridCol w:w="4961"/>
        <w:gridCol w:w="4961"/>
      </w:tblGrid>
      <w:tr>
        <w:tc>
          <w:tcPr>
            <w:tcW w:type="dxa" w:w="2381"/>
            <w:shd w:fill="E7EDF3"/>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Display" w:hAnsi="Inter Display" w:eastAsia="Inter Display"/>
                <w:b/>
                <w:color w:val="5D7692"/>
                <w:sz w:val="18"/>
              </w:rPr>
              <w:t>TRUST FOUNDATION</w:t>
            </w:r>
          </w:p>
        </w:tc>
        <w:tc>
          <w:tcPr>
            <w:tcW w:type="dxa" w:w="6860"/>
            <w:shd w:fill="F6F4F1"/>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w:hAnsi="Inter" w:eastAsia="Inter"/>
                <w:color w:val="2B2B2B"/>
                <w:sz w:val="18"/>
              </w:rPr>
              <w:t>Evidence-led framework · privacy and consent · claims governance · safe escalation</w:t>
            </w:r>
          </w:p>
        </w:tc>
      </w:tr>
      <w:tr>
        <w:tc>
          <w:tcPr>
            <w:tcW w:type="dxa" w:w="2381"/>
            <w:shd w:fill="F7EBD9"/>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Display" w:hAnsi="Inter Display" w:eastAsia="Inter Display"/>
                <w:b/>
                <w:color w:val="9B672E"/>
                <w:sz w:val="18"/>
              </w:rPr>
              <w:t>ADAPTIVE PRODUCT</w:t>
            </w:r>
          </w:p>
        </w:tc>
        <w:tc>
          <w:tcPr>
            <w:tcW w:type="dxa" w:w="6860"/>
            <w:shd w:fill="F6F4F1"/>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w:hAnsi="Inter" w:eastAsia="Inter"/>
                <w:color w:val="2B2B2B"/>
                <w:sz w:val="18"/>
              </w:rPr>
              <w:t>Integrated nutrition, movement and recovery · explainable personalisation · scores and progress</w:t>
            </w:r>
          </w:p>
        </w:tc>
      </w:tr>
      <w:tr>
        <w:tc>
          <w:tcPr>
            <w:tcW w:type="dxa" w:w="2381"/>
            <w:shd w:fill="FCE4DF"/>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Display" w:hAnsi="Inter Display" w:eastAsia="Inter Display"/>
                <w:b/>
                <w:color w:val="C94334"/>
                <w:sz w:val="18"/>
              </w:rPr>
              <w:t>LEARNING PROCESS</w:t>
            </w:r>
          </w:p>
        </w:tc>
        <w:tc>
          <w:tcPr>
            <w:tcW w:type="dxa" w:w="6860"/>
            <w:shd w:fill="F6F4F1"/>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w:hAnsi="Inter" w:eastAsia="Inter"/>
                <w:color w:val="2B2B2B"/>
                <w:sz w:val="18"/>
              </w:rPr>
              <w:t>Recommendation · action · adherence · response · recalibration</w:t>
            </w:r>
          </w:p>
        </w:tc>
      </w:tr>
      <w:tr>
        <w:tc>
          <w:tcPr>
            <w:tcW w:type="dxa" w:w="2381"/>
            <w:shd w:fill="E5EFEA"/>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Display" w:hAnsi="Inter Display" w:eastAsia="Inter Display"/>
                <w:b/>
                <w:color w:val="6B8E7D"/>
                <w:sz w:val="18"/>
              </w:rPr>
              <w:t>DISTRIBUTION NETWORK</w:t>
            </w:r>
          </w:p>
        </w:tc>
        <w:tc>
          <w:tcPr>
            <w:tcW w:type="dxa" w:w="6860"/>
            <w:shd w:fill="F6F4F1"/>
            <w:tcMar>
              <w:top w:w="95" w:type="dxa"/>
              <w:start w:w="110" w:type="dxa"/>
              <w:bottom w:w="95" w:type="dxa"/>
              <w:end w:w="110" w:type="dxa"/>
            </w:tcMar>
            <w:tcBorders>
              <w:top w:val="single" w:sz="3" w:color="E9E7E4"/>
              <w:start w:val="single" w:sz="3" w:color="E9E7E4"/>
              <w:bottom w:val="single" w:sz="3" w:color="E9E7E4"/>
              <w:end w:val="single" w:sz="3" w:color="E9E7E4"/>
            </w:tcBorders>
          </w:tcPr>
          <w:p>
            <w:r>
              <w:rPr>
                <w:rFonts w:ascii="Inter" w:hAnsi="Inter" w:eastAsia="Inter"/>
                <w:color w:val="2B2B2B"/>
                <w:sz w:val="18"/>
              </w:rPr>
              <w:t>D2C · employers · clinics · universities · coaches · wearables</w:t>
            </w:r>
          </w:p>
        </w:tc>
      </w:tr>
    </w:tbl>
    <w:p>
      <w:pPr>
        <w:pStyle w:val="Heading2"/>
      </w:pPr>
      <w:r>
        <w:t>What not to show on the slide</w:t>
      </w:r>
    </w:p>
    <w:p>
      <w:pPr>
        <w:pStyle w:val="ListBullet"/>
        <w:keepNext w:val="0"/>
        <w:keepLines w:val="0"/>
        <w:spacing w:before="0" w:after="60" w:line="259" w:lineRule="auto"/>
      </w:pPr>
      <w:r>
        <w:rPr>
          <w:rFonts w:ascii="Inter" w:hAnsi="Inter" w:eastAsia="Inter"/>
          <w:color w:val="2B2B2B"/>
          <w:sz w:val="19"/>
        </w:rPr>
        <w:t>A wall of capability ticks that implies NutriSync is fully built and every competitor is incomplete.</w:t>
      </w:r>
    </w:p>
    <w:p>
      <w:pPr>
        <w:pStyle w:val="ListBullet"/>
        <w:keepNext w:val="0"/>
        <w:keepLines w:val="0"/>
        <w:spacing w:before="0" w:after="60" w:line="259" w:lineRule="auto"/>
      </w:pPr>
      <w:r>
        <w:rPr>
          <w:rFonts w:ascii="Inter" w:hAnsi="Inter" w:eastAsia="Inter"/>
          <w:color w:val="2B2B2B"/>
          <w:sz w:val="19"/>
        </w:rPr>
        <w:t>A single “AI” row without explaining what adapts, from which data, and how the model improves.</w:t>
      </w:r>
    </w:p>
    <w:p>
      <w:pPr>
        <w:pStyle w:val="ListBullet"/>
        <w:keepNext w:val="0"/>
        <w:keepLines w:val="0"/>
        <w:spacing w:before="0" w:after="60" w:line="259" w:lineRule="auto"/>
      </w:pPr>
      <w:r>
        <w:rPr>
          <w:rFonts w:ascii="Inter" w:hAnsi="Inter" w:eastAsia="Inter"/>
          <w:color w:val="2B2B2B"/>
          <w:sz w:val="19"/>
        </w:rPr>
        <w:t>Wearables, lab tests, CGM or predictive modelling as current capabilities when they are roadmap items.</w:t>
      </w:r>
    </w:p>
    <w:p>
      <w:pPr>
        <w:pStyle w:val="ListBullet"/>
        <w:keepNext w:val="0"/>
        <w:keepLines w:val="0"/>
        <w:spacing w:before="0" w:after="60" w:line="259" w:lineRule="auto"/>
      </w:pPr>
      <w:r>
        <w:rPr>
          <w:rFonts w:ascii="Inter" w:hAnsi="Inter" w:eastAsia="Inter"/>
          <w:color w:val="2B2B2B"/>
          <w:sz w:val="19"/>
        </w:rPr>
        <w:t>Privacy as a unique feature. It is a critical trust requirement and can be executed better, but it is increasingly a category expectation.</w:t>
      </w:r>
    </w:p>
    <w:p>
      <w:r>
        <w:br w:type="page"/>
      </w: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08</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Evidence and execution roadmap</w:t>
            </w:r>
          </w:p>
          <w:p>
            <w:pPr>
              <w:keepNext w:val="0"/>
              <w:keepLines w:val="0"/>
              <w:spacing w:before="0" w:after="0" w:line="245" w:lineRule="auto"/>
            </w:pPr>
            <w:r>
              <w:rPr>
                <w:rFonts w:ascii="Inter" w:hAnsi="Inter" w:eastAsia="Inter"/>
                <w:color w:val="6E6E6E"/>
                <w:sz w:val="18"/>
              </w:rPr>
              <w:t>The evidence plan turns the positioning thesis into a measurable business and product advantage.</w:t>
            </w:r>
          </w:p>
        </w:tc>
      </w:tr>
    </w:tbl>
    <w:p>
      <w:pPr>
        <w:spacing w:after="0"/>
      </w:pPr>
    </w:p>
    <w:p>
      <w:pPr>
        <w:pStyle w:val="Heading2"/>
      </w:pPr>
      <w:r>
        <w:t>Sequenced roadmap</w:t>
      </w:r>
    </w:p>
    <w:tbl>
      <w:tblPr>
        <w:tblW w:type="auto" w:w="0"/>
        <w:jc w:val="center"/>
        <w:tblLayout w:type="fixed"/>
        <w:tblLook w:firstColumn="1" w:firstRow="1" w:lastColumn="0" w:lastRow="0" w:noHBand="0" w:noVBand="1" w:val="04A0"/>
      </w:tblPr>
      <w:tblGrid>
        <w:gridCol w:w="2480"/>
        <w:gridCol w:w="2480"/>
        <w:gridCol w:w="2480"/>
        <w:gridCol w:w="2480"/>
      </w:tblGrid>
      <w:tr>
        <w:trPr>
          <w:cantSplit/>
          <w:tblHeader w:val="true"/>
        </w:trPr>
        <w:tc>
          <w:tcPr>
            <w:tcW w:type="dxa" w:w="1361"/>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Horizon</w:t>
            </w:r>
          </w:p>
        </w:tc>
        <w:tc>
          <w:tcPr>
            <w:tcW w:type="dxa" w:w="1361"/>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Workstream</w:t>
            </w:r>
          </w:p>
        </w:tc>
        <w:tc>
          <w:tcPr>
            <w:tcW w:type="dxa" w:w="3572"/>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Key action</w:t>
            </w:r>
          </w:p>
        </w:tc>
        <w:tc>
          <w:tcPr>
            <w:tcW w:type="dxa" w:w="2948"/>
            <w:vAlign w:val="center"/>
            <w:tcMar>
              <w:top w:w="70" w:type="dxa"/>
              <w:start w:w="70" w:type="dxa"/>
              <w:bottom w:w="70" w:type="dxa"/>
              <w:end w:w="70" w:type="dxa"/>
            </w:tcMar>
            <w:shd w:fill="C94334"/>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6"/>
              </w:rPr>
              <w:t>Proof point</w:t>
            </w:r>
          </w:p>
        </w:tc>
      </w:tr>
      <w:tr>
        <w:trPr>
          <w:cantSplit/>
        </w:trPr>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0-90 days</w:t>
            </w:r>
          </w:p>
        </w:tc>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Instrument</w:t>
            </w:r>
          </w:p>
        </w:tc>
        <w:tc>
          <w:tcPr>
            <w:tcW w:type="dxa" w:w="357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Define event schema for recommendation, action, adherence, context and response; establish a personal baseline; freeze claim dictionary and competitor taxonomy.</w:t>
            </w:r>
          </w:p>
        </w:tc>
        <w:tc>
          <w:tcPr>
            <w:tcW w:type="dxa" w:w="294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Complete event coverage; consent logs; data-quality rate; recommendation explainability review.</w:t>
            </w:r>
          </w:p>
        </w:tc>
      </w:tr>
      <w:tr>
        <w:trPr>
          <w:cantSplit/>
        </w:trPr>
        <w:tc>
          <w:tcPr>
            <w:tcW w:type="dxa" w:w="136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3-6 months</w:t>
            </w:r>
          </w:p>
        </w:tc>
        <w:tc>
          <w:tcPr>
            <w:tcW w:type="dxa" w:w="136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Prove</w:t>
            </w:r>
          </w:p>
        </w:tc>
        <w:tc>
          <w:tcPr>
            <w:tcW w:type="dxa" w:w="3572"/>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Run repeated-cycle pilot; compare adaptive recommendations with static phase content; test score comprehension and relevance.</w:t>
            </w:r>
          </w:p>
        </w:tc>
        <w:tc>
          <w:tcPr>
            <w:tcW w:type="dxa" w:w="294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D30/D90 retention; recommendation acceptance; adherence; relevance rating; missing-data resilience; adverse-feedback rate.</w:t>
            </w:r>
          </w:p>
        </w:tc>
      </w:tr>
      <w:tr>
        <w:trPr>
          <w:cantSplit/>
        </w:trPr>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6-12 months</w:t>
            </w:r>
          </w:p>
        </w:tc>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Calibrate</w:t>
            </w:r>
          </w:p>
        </w:tc>
        <w:tc>
          <w:tcPr>
            <w:tcW w:type="dxa" w:w="357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Improve personal models; establish minimum data thresholds; quantify within-person changes without overclaiming causality.</w:t>
            </w:r>
          </w:p>
        </w:tc>
        <w:tc>
          <w:tcPr>
            <w:tcW w:type="dxa" w:w="294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Relevance lift after cycle 1/2/3; stability of scores; response-signal completeness; proportion of users receiving meaningfully different recommendations.</w:t>
            </w:r>
          </w:p>
        </w:tc>
      </w:tr>
      <w:tr>
        <w:trPr>
          <w:cantSplit/>
        </w:trPr>
        <w:tc>
          <w:tcPr>
            <w:tcW w:type="dxa" w:w="136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6-12 months</w:t>
            </w:r>
          </w:p>
        </w:tc>
        <w:tc>
          <w:tcPr>
            <w:tcW w:type="dxa" w:w="1361"/>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Renew</w:t>
            </w:r>
          </w:p>
        </w:tc>
        <w:tc>
          <w:tcPr>
            <w:tcW w:type="dxa" w:w="3572"/>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Pilot employer, clinic and university channels with explicit value propositions and governance.</w:t>
            </w:r>
          </w:p>
        </w:tc>
        <w:tc>
          <w:tcPr>
            <w:tcW w:type="dxa" w:w="294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Eligible-to-active conversion; partner activation; engagement; referral; partner satisfaction; renewal intent.</w:t>
            </w:r>
          </w:p>
        </w:tc>
      </w:tr>
      <w:tr>
        <w:trPr>
          <w:cantSplit/>
        </w:trPr>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6"/>
              </w:rPr>
              <w:t>Before stronger claims</w:t>
            </w:r>
          </w:p>
        </w:tc>
        <w:tc>
          <w:tcPr>
            <w:tcW w:type="dxa" w:w="1361"/>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Govern</w:t>
            </w:r>
          </w:p>
        </w:tc>
        <w:tc>
          <w:tcPr>
            <w:tcW w:type="dxa" w:w="3572"/>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Complete intended-purpose and MDR/IVDR assessment; establish clinical review, privacy change gate and model-risk controls.</w:t>
            </w:r>
          </w:p>
        </w:tc>
        <w:tc>
          <w:tcPr>
            <w:tcW w:type="dxa" w:w="294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6"/>
              </w:rPr>
              <w:t>Approved claims register; DPIA; incident process; model monitoring; signed data-processing agreements; regulatory decision record.</w:t>
            </w:r>
          </w:p>
        </w:tc>
      </w:tr>
    </w:tbl>
    <w:p>
      <w:pPr>
        <w:pStyle w:val="Heading2"/>
      </w:pPr>
      <w:r>
        <w:t>Minimum viable evidence dashboard</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268"/>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Dashboard area</w:t>
            </w:r>
          </w:p>
        </w:tc>
        <w:tc>
          <w:tcPr>
            <w:tcW w:type="dxa" w:w="6973"/>
            <w:vAlign w:val="center"/>
            <w:tcMar>
              <w:top w:w="70" w:type="dxa"/>
              <w:start w:w="70" w:type="dxa"/>
              <w:bottom w:w="70" w:type="dxa"/>
              <w:end w:w="70" w:type="dxa"/>
            </w:tcMar>
            <w:shd w:fill="231F20"/>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FFFFFF"/>
                <w:sz w:val="17"/>
              </w:rPr>
              <w:t>Measures</w:t>
            </w:r>
          </w:p>
        </w:tc>
      </w:tr>
      <w:tr>
        <w:trPr>
          <w:cantSplit/>
        </w:trPr>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Engagement quality</w:t>
            </w:r>
          </w:p>
        </w:tc>
        <w:tc>
          <w:tcPr>
            <w:tcW w:type="dxa" w:w="6973"/>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Recommendation viewed, accepted, completed, dismissed; time-to-action; opt-out and notification-control use.</w:t>
            </w:r>
          </w:p>
        </w:tc>
      </w:tr>
      <w:tr>
        <w:trPr>
          <w:cantSplit/>
        </w:trPr>
        <w:tc>
          <w:tcPr>
            <w:tcW w:type="dxa" w:w="226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Learning quality</w:t>
            </w:r>
          </w:p>
        </w:tc>
        <w:tc>
          <w:tcPr>
            <w:tcW w:type="dxa" w:w="6973"/>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Baseline completeness; confidence; repeated response; relevance lift; recommendation divergence from static phase rules.</w:t>
            </w:r>
          </w:p>
        </w:tc>
      </w:tr>
      <w:tr>
        <w:trPr>
          <w:cantSplit/>
        </w:trPr>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Wellbeing trend</w:t>
            </w:r>
          </w:p>
        </w:tc>
        <w:tc>
          <w:tcPr>
            <w:tcW w:type="dxa" w:w="6973"/>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Within-person energy, mood and symptom variability over time, presented as observational estimates rather than treatment outcomes.</w:t>
            </w:r>
          </w:p>
        </w:tc>
      </w:tr>
      <w:tr>
        <w:trPr>
          <w:cantSplit/>
        </w:trPr>
        <w:tc>
          <w:tcPr>
            <w:tcW w:type="dxa" w:w="2268"/>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Safety and trust</w:t>
            </w:r>
          </w:p>
        </w:tc>
        <w:tc>
          <w:tcPr>
            <w:tcW w:type="dxa" w:w="6973"/>
            <w:vAlign w:val="center"/>
            <w:tcMar>
              <w:top w:w="70" w:type="dxa"/>
              <w:start w:w="70" w:type="dxa"/>
              <w:bottom w:w="70" w:type="dxa"/>
              <w:end w:w="70" w:type="dxa"/>
            </w:tcMar>
            <w:shd w:fill="F6F4F1"/>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Consent completion/withdrawal; privacy requests; data errors; inappropriate recommendation reports; escalation usage.</w:t>
            </w:r>
          </w:p>
        </w:tc>
      </w:tr>
      <w:tr>
        <w:trPr>
          <w:cantSplit/>
        </w:trPr>
        <w:tc>
          <w:tcPr>
            <w:tcW w:type="dxa" w:w="2268"/>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color w:val="2B2B2B"/>
                <w:sz w:val="17"/>
              </w:rPr>
              <w:t>Distribution economics</w:t>
            </w:r>
          </w:p>
        </w:tc>
        <w:tc>
          <w:tcPr>
            <w:tcW w:type="dxa" w:w="6973"/>
            <w:vAlign w:val="center"/>
            <w:tcMar>
              <w:top w:w="70" w:type="dxa"/>
              <w:start w:w="70" w:type="dxa"/>
              <w:bottom w:w="70" w:type="dxa"/>
              <w:end w:w="70" w:type="dxa"/>
            </w:tcMar>
            <w:shd w:fill="FFFFFF"/>
            <w:tcBorders>
              <w:top w:val="single" w:sz="3" w:color="D9D6D2"/>
              <w:start w:val="single" w:sz="3" w:color="D9D6D2"/>
              <w:bottom w:val="single" w:sz="3" w:color="D9D6D2"/>
              <w:end w:val="single" w:sz="3" w:color="D9D6D2"/>
            </w:tcBorders>
          </w:tcPr>
          <w:p>
            <w:pPr>
              <w:spacing w:before="0" w:after="0" w:line="240" w:lineRule="auto"/>
            </w:pPr>
            <w:r>
              <w:rPr>
                <w:rFonts w:ascii="Inter" w:hAnsi="Inter" w:eastAsia="Inter"/>
                <w:b w:val="0"/>
                <w:color w:val="2B2B2B"/>
                <w:sz w:val="17"/>
              </w:rPr>
              <w:t>Activation by channel; CAC proxy; repeat-cycle retention; employer/clinic pilot usage; renewal and expansion signal.</w:t>
            </w:r>
          </w:p>
        </w:tc>
      </w:tr>
    </w:tbl>
    <w:tbl>
      <w:tblPr>
        <w:tblW w:type="auto" w:w="0"/>
        <w:jc w:val="center"/>
        <w:tblLayout w:type="fixed"/>
        <w:tblLook w:firstColumn="1" w:firstRow="1" w:lastColumn="0" w:lastRow="0" w:noHBand="0" w:noVBand="1" w:val="04A0"/>
      </w:tblPr>
      <w:tblGrid>
        <w:gridCol w:w="255"/>
        <w:gridCol w:w="9184"/>
      </w:tblGrid>
      <w:tr>
        <w:tc>
          <w:tcPr>
            <w:tcW w:type="dxa" w:w="4961"/>
            <w:shd w:fill="6B8E7D"/>
            <w:tcMar>
              <w:top w:w="120" w:type="dxa"/>
              <w:start w:w="110" w:type="dxa"/>
              <w:bottom w:w="120" w:type="dxa"/>
              <w:end w:w="110" w:type="dxa"/>
            </w:tcMar>
            <w:tcBorders>
              <w:top w:val="nil"/>
              <w:start w:val="nil"/>
              <w:bottom w:val="nil"/>
              <w:end w:val="nil"/>
            </w:tcBorders>
            <w:vAlign w:val="center"/>
          </w:tcPr>
          <w:p/>
        </w:tc>
        <w:tc>
          <w:tcPr>
            <w:tcW w:type="dxa" w:w="4961"/>
            <w:shd w:fill="E5EFEA"/>
            <w:tcMar>
              <w:top w:w="120" w:type="dxa"/>
              <w:start w:w="110" w:type="dxa"/>
              <w:bottom w:w="120" w:type="dxa"/>
              <w:end w:w="110" w:type="dxa"/>
            </w:tcMar>
            <w:tcBorders>
              <w:top w:val="nil"/>
              <w:start w:val="nil"/>
              <w:bottom w:val="nil"/>
              <w:end w:val="nil"/>
            </w:tcBorders>
            <w:vAlign w:val="center"/>
          </w:tcPr>
          <w:p>
            <w:pPr>
              <w:keepNext w:val="0"/>
              <w:keepLines w:val="0"/>
              <w:spacing w:before="0" w:after="40" w:line="240" w:lineRule="auto"/>
            </w:pPr>
            <w:r>
              <w:rPr>
                <w:rFonts w:ascii="Inter Display" w:hAnsi="Inter Display" w:eastAsia="Inter Display"/>
                <w:b/>
                <w:color w:val="6B8E7D"/>
                <w:sz w:val="22"/>
              </w:rPr>
              <w:t>Proof standard</w:t>
            </w:r>
          </w:p>
          <w:p>
            <w:pPr>
              <w:keepNext w:val="0"/>
              <w:keepLines w:val="0"/>
              <w:spacing w:before="0" w:after="0" w:line="259" w:lineRule="auto"/>
            </w:pPr>
            <w:r>
              <w:rPr>
                <w:rFonts w:ascii="Inter" w:hAnsi="Inter" w:eastAsia="Inter"/>
                <w:color w:val="2B2B2B"/>
                <w:sz w:val="19"/>
              </w:rPr>
              <w:t>The strongest investor proof will not be “we use AI.” It will be a simple before-and-after demonstration that the system produces more relevant recommendations for the same person after learning from prior cycles, while preserving safety and privacy.</w:t>
            </w:r>
          </w:p>
        </w:tc>
      </w:tr>
    </w:tbl>
    <w:p>
      <w:pPr>
        <w:spacing w:after="20"/>
      </w:pP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09</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Competitor profiles</w:t>
            </w:r>
          </w:p>
          <w:p>
            <w:pPr>
              <w:keepNext w:val="0"/>
              <w:keepLines w:val="0"/>
              <w:spacing w:before="0" w:after="0" w:line="245" w:lineRule="auto"/>
            </w:pPr>
            <w:r>
              <w:rPr>
                <w:rFonts w:ascii="Inter" w:hAnsi="Inter" w:eastAsia="Inter"/>
                <w:color w:val="6E6E6E"/>
                <w:sz w:val="18"/>
              </w:rPr>
              <w:t>Concise profiles based on official public materials. Marketing and study claims are labelled as such.</w:t>
            </w:r>
          </w:p>
        </w:tc>
      </w:tr>
    </w:tbl>
    <w:p>
      <w:pPr>
        <w:spacing w:after="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Flo</w:t>
            </w:r>
            <w:r>
              <w:rPr>
                <w:rFonts w:ascii="Inter" w:hAnsi="Inter" w:eastAsia="Inter"/>
                <w:b/>
                <w:color w:val="C94334"/>
                <w:sz w:val="16"/>
              </w:rPr>
              <w:t xml:space="preserve">   Track and predict</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Large reproductive-health app spanning cycle tracking, fertility, pregnancy and perimenopause.</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Symptom logging, predictions, personalised reports and daily insights, partner sharing, a private community, clinician-ready summaries and a healthcare-professional channel.</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consumer breadth, engagement and content scale.</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Not positioned around integrated meal and movement plans or a measured action-response loop. Historical privacy enforcement is a category governance lesson, not a statement about current compliance.</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[E1-E3, E22]</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Clue</w:t>
            </w:r>
            <w:r>
              <w:rPr>
                <w:rFonts w:ascii="Inter" w:hAnsi="Inter" w:eastAsia="Inter"/>
                <w:b/>
                <w:color w:val="C94334"/>
                <w:sz w:val="16"/>
              </w:rPr>
              <w:t xml:space="preserve">   Track and predict</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Science-based, privacy-first cycle tracker with multiple life-stage modes.</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Predictions, pattern analysis, expert content, Clue Connect, EU privacy positioning, wearable integrations and Oura-linked sleep/heart-rate insights.</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trust, research framing, data control and wearable-supported patterning.</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Limited public evidence of integrated nutrition/movement recommendations or intervention-response learning.</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[E4-E5]</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Ovia</w:t>
            </w:r>
            <w:r>
              <w:rPr>
                <w:rFonts w:ascii="Inter" w:hAnsi="Inter" w:eastAsia="Inter"/>
                <w:b/>
                <w:color w:val="C94334"/>
                <w:sz w:val="16"/>
              </w:rPr>
              <w:t xml:space="preserve">   Reproductive journeys and benefits</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Data-driven reproductive and family-health platform spanning cycle, fertility, pregnancy, postpartum and menopause.</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Personalised programs, care-team access, employer and health-plan distribution, health coaching and broad life-stage support.</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Primary benchmark for B2B/B2B2C distribution and professional support.</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Less focused on everyday cycle-synced nutrition and movement as a unified adaptive product.</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[E6-E8]</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Natural Cycles</w:t>
            </w:r>
            <w:r>
              <w:rPr>
                <w:rFonts w:ascii="Inter" w:hAnsi="Inter" w:eastAsia="Inter"/>
                <w:b/>
                <w:color w:val="C94334"/>
                <w:sz w:val="16"/>
              </w:rPr>
              <w:t xml:space="preserve">   Regulated fertility decision support</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FDA-cleared birth-control app using temperature-driven algorithmic fertility status.</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Regulatory credibility, individual temperature data, Apple Watch/Oura/Garmin-style compatible devices and long-term cycle data.</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algorithm validation, intended purpose, measurement discipline and wearables.</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Narrower intervention scope; not an integrated wellbeing or action-response system.</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[E9-E10]</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MyFLO / FLO Living</w:t>
            </w:r>
            <w:r>
              <w:rPr>
                <w:rFonts w:ascii="Inter" w:hAnsi="Inter" w:eastAsia="Inter"/>
                <w:b/>
                <w:color w:val="C94334"/>
                <w:sz w:val="16"/>
              </w:rPr>
              <w:t xml:space="preserve">   Cycle-based wellness</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Cycle Syncing framework combining tracking, phase guidance, food, workouts, lifestyle, scores, supplements and coaching.</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Daily insights, recipes, meal plans, movement videos, symptom interpretation, cycle-health score, privacy claims and telehealth coaching. FLO Living also reports an IRB-backed company study.</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Closest benchmark for the source slide’s integrated cycle-nutrition-fitness claim.</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Largely phase-framework driven; public evidence of user-specific action-response recalibration is limited. Company study claims require independent appraisal.</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[E11-E12]</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spacing w:before="0" w:after="40" w:line="240" w:lineRule="auto"/>
            </w:pPr>
            <w:r>
              <w:rPr>
                <w:rFonts w:ascii="Inter Display" w:hAnsi="Inter Display" w:eastAsia="Inter Display"/>
                <w:b/>
                <w:color w:val="231F20"/>
                <w:sz w:val="26"/>
              </w:rPr>
              <w:t>28</w:t>
            </w:r>
            <w:r>
              <w:rPr>
                <w:rFonts w:ascii="Inter" w:hAnsi="Inter" w:eastAsia="Inter"/>
                <w:b/>
                <w:color w:val="C94334"/>
                <w:sz w:val="16"/>
              </w:rPr>
              <w:t xml:space="preserve">   Cycle-based wellness + AI meal logging</w:t>
            </w:r>
          </w:p>
          <w:p>
            <w:pPr>
              <w:keepNext w:val="0"/>
              <w:spacing w:before="0" w:after="40" w:line="245" w:lineRule="auto"/>
            </w:pPr>
            <w:r>
              <w:rPr>
                <w:rFonts w:ascii="Inter" w:hAnsi="Inter" w:eastAsia="Inter"/>
                <w:b/>
                <w:color w:val="2B2B2B"/>
                <w:sz w:val="15"/>
              </w:rPr>
              <w:t xml:space="preserve">Core proposition: </w:t>
            </w:r>
            <w:r>
              <w:rPr>
                <w:rFonts w:ascii="Inter" w:hAnsi="Inter" w:eastAsia="Inter"/>
                <w:b w:val="0"/>
                <w:color w:val="2B2B2B"/>
                <w:sz w:val="15"/>
              </w:rPr>
              <w:t>Cycle-based wellness app combining daily insights, workouts, nutrition, recipes and an AI assistant.</w:t>
            </w:r>
          </w:p>
          <w:p>
            <w:pPr>
              <w:keepNext w:val="0"/>
              <w:spacing w:before="0" w:after="40" w:line="245" w:lineRule="auto"/>
            </w:pPr>
            <w:r>
              <w:rPr>
                <w:rFonts w:ascii="Inter" w:hAnsi="Inter" w:eastAsia="Inter"/>
                <w:b/>
                <w:color w:val="2B2B2B"/>
                <w:sz w:val="15"/>
              </w:rPr>
              <w:t xml:space="preserve">Publicly evidenced strengths: </w:t>
            </w:r>
            <w:r>
              <w:rPr>
                <w:rFonts w:ascii="Inter" w:hAnsi="Inter" w:eastAsia="Inter"/>
                <w:b w:val="0"/>
                <w:color w:val="2B2B2B"/>
                <w:sz w:val="15"/>
              </w:rPr>
              <w:t>The July 2026 release advertises photo calorie tracking that logs calories and macros from a meal image, recipes generated from available ingredients, and a GAIA assistant carrying cycle, goal and daily context. [U1]</w:t>
            </w:r>
          </w:p>
          <w:p>
            <w:pPr>
              <w:keepNext w:val="0"/>
              <w:spacing w:before="0" w:after="40" w:line="245" w:lineRule="auto"/>
            </w:pPr>
            <w:r>
              <w:rPr>
                <w:rFonts w:ascii="Inter" w:hAnsi="Inter" w:eastAsia="Inter"/>
                <w:b/>
                <w:color w:val="2B2B2B"/>
                <w:sz w:val="15"/>
              </w:rPr>
              <w:t xml:space="preserve">Strategic relevance to NutriSync: </w:t>
            </w:r>
            <w:r>
              <w:rPr>
                <w:rFonts w:ascii="Inter" w:hAnsi="Inter" w:eastAsia="Inter"/>
                <w:b w:val="0"/>
                <w:color w:val="2B2B2B"/>
                <w:sz w:val="15"/>
              </w:rPr>
              <w:t>Direct benchmark for low-friction multimodal logging and consumer-scale integration of cycle, nutrition and fitness.</w:t>
            </w:r>
          </w:p>
          <w:p>
            <w:pPr>
              <w:keepNext w:val="0"/>
              <w:spacing w:before="0" w:after="40" w:line="245" w:lineRule="auto"/>
            </w:pPr>
            <w:r>
              <w:rPr>
                <w:rFonts w:ascii="Inter" w:hAnsi="Inter" w:eastAsia="Inter"/>
                <w:b/>
                <w:color w:val="2B2B2B"/>
                <w:sz w:val="15"/>
              </w:rPr>
              <w:t xml:space="preserve">Gap / watch-out: </w:t>
            </w:r>
            <w:r>
              <w:rPr>
                <w:rFonts w:ascii="Inter" w:hAnsi="Inter" w:eastAsia="Inter"/>
                <w:b w:val="0"/>
                <w:color w:val="2B2B2B"/>
                <w:sz w:val="15"/>
              </w:rPr>
              <w:t>Public evidence remains limited on ingredient-level transparency, expert/community governance, clinical distribution and a measured action-response learning loop.</w:t>
            </w:r>
          </w:p>
          <w:p>
            <w:pPr>
              <w:keepNext w:val="0"/>
              <w:spacing w:before="0" w:after="40" w:line="245" w:lineRule="auto"/>
            </w:pPr>
            <w:r>
              <w:rPr>
                <w:rFonts w:ascii="Inter" w:hAnsi="Inter" w:eastAsia="Inter"/>
                <w:b/>
                <w:color w:val="2B2B2B"/>
                <w:sz w:val="15"/>
              </w:rPr>
              <w:t xml:space="preserve">Evidence: </w:t>
            </w:r>
            <w:r>
              <w:rPr>
                <w:rFonts w:ascii="Inter" w:hAnsi="Inter" w:eastAsia="Inter"/>
                <w:b w:val="0"/>
                <w:color w:val="2B2B2B"/>
                <w:sz w:val="15"/>
              </w:rPr>
              <w:t>[E13; U1]</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Lively</w:t>
            </w:r>
            <w:r>
              <w:rPr>
                <w:rFonts w:ascii="Inter" w:hAnsi="Inter" w:eastAsia="Inter"/>
                <w:b/>
                <w:color w:val="C94334"/>
                <w:sz w:val="16"/>
              </w:rPr>
              <w:t xml:space="preserve">   Cycle-based wellness</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Cycle tracker and wellbeing companion combining cycle syncing, AI-labelled guidance and pattern reports.</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Integrated nutrition, exercise and wellness recommendations, AI Advisor, symptom patterns, BBT/health markers, care-team reports, partner sharing and privacy-first positioning.</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Important recent convergence threat because it overlaps with NutriSync’s breadth and AI language.</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Public materials do not yet establish a measured intervention-response learning system or institutional distribution at scale.</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[E14-E15]</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Wild.AI</w:t>
            </w:r>
            <w:r>
              <w:rPr>
                <w:rFonts w:ascii="Inter" w:hAnsi="Inter" w:eastAsia="Inter"/>
                <w:b/>
                <w:color w:val="C94334"/>
                <w:sz w:val="16"/>
              </w:rPr>
              <w:t xml:space="preserve">   Female performance system</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Hormone-aware performance platform connecting training, nutrition and recovery to hormonal and biometric patterns.</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Adaptive training, cycle-synced nutrition, readiness-style recommendations, wearables, coach dashboard and a performance/coach ecosystem.</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Closest benchmark to the proposed NutriSync integrated intelligence layer.</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Stronger athlete/performance wedge; public evidence does not clearly show a causal action-response learning loop across everyday wellbeing. Privacy posture changed with the 2025 Zepp Health ownership transfer and should be monitored.</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[E16-E17]</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FitrWoman</w:t>
            </w:r>
            <w:r>
              <w:rPr>
                <w:rFonts w:ascii="Inter" w:hAnsi="Inter" w:eastAsia="Inter"/>
                <w:b/>
                <w:color w:val="C94334"/>
                <w:sz w:val="16"/>
              </w:rPr>
              <w:t xml:space="preserve">   Female performance system</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Athlete-focused app and coach platform for cycle-aware training, recovery and nutrition.</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Individualised recommendations based on logged data, trends, recipes, athlete-coach sharing and team workflows.</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professional distribution and coach-mediated behavioural change.</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Narrower consumer-wellbeing scope, less visible AI/biometric depth and no clear closed-loop response model.</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[E18-E19]</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Hormona</w:t>
            </w:r>
            <w:r>
              <w:rPr>
                <w:rFonts w:ascii="Inter" w:hAnsi="Inter" w:eastAsia="Inter"/>
                <w:b/>
                <w:color w:val="C94334"/>
                <w:sz w:val="16"/>
              </w:rPr>
              <w:t xml:space="preserve">   Hormone intelligence</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AI-labelled hormone and symptom tracker with daily predictions and at-home test/scanner positioning.</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Cycle and symptom forecasts, longitudinal hormone-trend views, expert tips, perimenopause focus and integration of test results in the app.</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hormone-intelligence language, measurement and longitudinal trend storytelling.</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Higher regulatory and evidence burden; integrated nutrition/movement and community are secondary. Some test availability and claims remain stage-dependent.</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[E20-E21]</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6F4F1"/>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Moody</w:t>
            </w:r>
            <w:r>
              <w:rPr>
                <w:rFonts w:ascii="Inter" w:hAnsi="Inter" w:eastAsia="Inter"/>
                <w:b/>
                <w:color w:val="C94334"/>
                <w:sz w:val="16"/>
              </w:rPr>
              <w:t xml:space="preserve">   Cycle-based wellness</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Daily wellness tracker linking moods and symptoms to cycle-aware content.</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Nutrition, movement, mindfulness, expert information, personalised feeds and pattern reports.</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tone, daily habit and emotional/wellbeing context.</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Limited public evidence of institutional distribution, biometrics or adaptive learning from interventions.</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[E23-E24]</w:t>
            </w:r>
          </w:p>
        </w:tc>
      </w:tr>
    </w:tbl>
    <w:p>
      <w:pPr>
        <w:spacing w:after="20"/>
      </w:pPr>
    </w:p>
    <w:tbl>
      <w:tblPr>
        <w:tblW w:type="auto" w:w="0"/>
        <w:jc w:val="center"/>
        <w:tblLayout w:type="fixed"/>
        <w:tblLook w:firstColumn="1" w:firstRow="1" w:lastColumn="0" w:lastRow="0" w:noHBand="0" w:noVBand="1" w:val="04A0"/>
      </w:tblPr>
      <w:tblGrid>
        <w:gridCol w:w="9922"/>
      </w:tblGrid>
      <w:tr>
        <w:tc>
          <w:tcPr>
            <w:tcW w:type="dxa" w:w="9298"/>
            <w:shd w:fill="FBF8F3"/>
            <w:tcMar>
              <w:top w:w="150" w:type="dxa"/>
              <w:start w:w="170" w:type="dxa"/>
              <w:bottom w:w="140" w:type="dxa"/>
              <w:end w:w="170" w:type="dxa"/>
            </w:tcMar>
            <w:tcBorders>
              <w:top w:val="single" w:sz="6" w:color="E9E7E4"/>
              <w:start w:val="single" w:sz="14" w:color="EE5C4A"/>
              <w:bottom w:val="single" w:sz="6" w:color="E9E7E4"/>
              <w:end w:val="single" w:sz="6" w:color="E9E7E4"/>
            </w:tcBorders>
          </w:tcPr>
          <w:p>
            <w:pPr>
              <w:keepNext w:val="0"/>
              <w:keepLines w:val="0"/>
              <w:spacing w:before="0" w:after="40" w:line="240" w:lineRule="auto"/>
            </w:pPr>
            <w:r>
              <w:rPr>
                <w:rFonts w:ascii="Inter Display" w:hAnsi="Inter Display" w:eastAsia="Inter Display"/>
                <w:b/>
                <w:color w:val="231F20"/>
                <w:sz w:val="26"/>
              </w:rPr>
              <w:t>Eative</w:t>
            </w:r>
            <w:r>
              <w:rPr>
                <w:rFonts w:ascii="Inter" w:hAnsi="Inter" w:eastAsia="Inter"/>
                <w:b/>
                <w:color w:val="C94334"/>
                <w:sz w:val="16"/>
              </w:rPr>
              <w:t xml:space="preserve">   Hormone-aware nutrition</w:t>
            </w:r>
          </w:p>
          <w:p>
            <w:pPr>
              <w:keepNext w:val="0"/>
              <w:keepLines w:val="0"/>
              <w:spacing w:before="0" w:after="40" w:line="252" w:lineRule="auto"/>
            </w:pPr>
            <w:r>
              <w:rPr>
                <w:rFonts w:ascii="Inter" w:hAnsi="Inter" w:eastAsia="Inter"/>
                <w:b/>
                <w:color w:val="2B2B2B"/>
                <w:sz w:val="17"/>
              </w:rPr>
              <w:t xml:space="preserve">Core proposition: </w:t>
            </w:r>
            <w:r>
              <w:rPr>
                <w:rFonts w:ascii="Inter" w:hAnsi="Inter" w:eastAsia="Inter"/>
                <w:color w:val="2B2B2B"/>
                <w:sz w:val="17"/>
              </w:rPr>
              <w:t>Nutrition-first product offering meal plans by life phase and daily feeling.</w:t>
            </w:r>
          </w:p>
          <w:p>
            <w:pPr>
              <w:keepNext w:val="0"/>
              <w:keepLines w:val="0"/>
              <w:spacing w:before="0" w:after="40" w:line="252" w:lineRule="auto"/>
            </w:pPr>
            <w:r>
              <w:rPr>
                <w:rFonts w:ascii="Inter" w:hAnsi="Inter" w:eastAsia="Inter"/>
                <w:b/>
                <w:color w:val="2B2B2B"/>
                <w:sz w:val="17"/>
              </w:rPr>
              <w:t xml:space="preserve">Publicly evidenced strengths: </w:t>
            </w:r>
            <w:r>
              <w:rPr>
                <w:rFonts w:ascii="Inter" w:hAnsi="Inter" w:eastAsia="Inter"/>
                <w:color w:val="2B2B2B"/>
                <w:sz w:val="17"/>
              </w:rPr>
              <w:t>Meal planning, food education and a clear hormone-aware nutrition proposition.</w:t>
            </w:r>
          </w:p>
          <w:p>
            <w:pPr>
              <w:keepNext w:val="0"/>
              <w:keepLines w:val="0"/>
              <w:spacing w:before="0" w:after="40" w:line="252" w:lineRule="auto"/>
            </w:pPr>
            <w:r>
              <w:rPr>
                <w:rFonts w:ascii="Inter" w:hAnsi="Inter" w:eastAsia="Inter"/>
                <w:b/>
                <w:color w:val="2B2B2B"/>
                <w:sz w:val="17"/>
              </w:rPr>
              <w:t xml:space="preserve">Strategic relevance to NutriSync: </w:t>
            </w:r>
            <w:r>
              <w:rPr>
                <w:rFonts w:ascii="Inter" w:hAnsi="Inter" w:eastAsia="Inter"/>
                <w:color w:val="2B2B2B"/>
                <w:sz w:val="17"/>
              </w:rPr>
              <w:t>Benchmark for the nutrition wedge and how quickly generic meal planning can add hormonal positioning.</w:t>
            </w:r>
          </w:p>
          <w:p>
            <w:pPr>
              <w:keepNext w:val="0"/>
              <w:keepLines w:val="0"/>
              <w:spacing w:before="0" w:after="40" w:line="252" w:lineRule="auto"/>
            </w:pPr>
            <w:r>
              <w:rPr>
                <w:rFonts w:ascii="Inter" w:hAnsi="Inter" w:eastAsia="Inter"/>
                <w:b/>
                <w:color w:val="2B2B2B"/>
                <w:sz w:val="17"/>
              </w:rPr>
              <w:t xml:space="preserve">Gap / watch-out: </w:t>
            </w:r>
            <w:r>
              <w:rPr>
                <w:rFonts w:ascii="Inter" w:hAnsi="Inter" w:eastAsia="Inter"/>
                <w:color w:val="2B2B2B"/>
                <w:sz w:val="17"/>
              </w:rPr>
              <w:t>Narrow product system; limited public evidence of fitness integration, clinical distribution, biometrics or longitudinal learning.</w:t>
            </w:r>
          </w:p>
          <w:p>
            <w:pPr>
              <w:keepNext w:val="0"/>
              <w:keepLines w:val="0"/>
              <w:spacing w:before="0" w:after="0" w:line="240" w:lineRule="auto"/>
            </w:pPr>
            <w:r>
              <w:rPr>
                <w:rFonts w:ascii="Inter" w:hAnsi="Inter" w:eastAsia="Inter"/>
                <w:b/>
                <w:color w:val="6E6E6E"/>
                <w:sz w:val="16"/>
              </w:rPr>
              <w:t xml:space="preserve">Evidence: </w:t>
            </w:r>
            <w:r>
              <w:rPr>
                <w:rFonts w:ascii="Inter" w:hAnsi="Inter" w:eastAsia="Inter"/>
                <w:color w:val="6E6E6E"/>
                <w:sz w:val="16"/>
              </w:rPr>
              <w:t>[E25]</w:t>
            </w:r>
          </w:p>
        </w:tc>
      </w:tr>
    </w:tbl>
    <w:p>
      <w:pPr>
        <w:spacing w:after="20"/>
      </w:pPr>
    </w:p>
    <w:tbl>
      <w:tblPr>
        <w:tblW w:type="auto" w:w="0"/>
        <w:jc w:val="center"/>
        <w:tblLayout w:type="fixed"/>
        <w:tblLook w:firstColumn="1" w:firstRow="1" w:lastColumn="0" w:lastRow="0" w:noHBand="0" w:noVBand="1" w:val="04A0"/>
      </w:tblPr>
      <w:tblGrid>
        <w:gridCol w:w="4961"/>
        <w:gridCol w:w="4961"/>
      </w:tblGrid>
      <w:tr>
        <w:tc>
          <w:tcPr>
            <w:tcW w:type="dxa" w:w="794"/>
            <w:shd w:fill="EE5C4A"/>
            <w:tcMar>
              <w:top w:w="120" w:type="dxa"/>
              <w:start w:w="120" w:type="dxa"/>
              <w:bottom w:w="120" w:type="dxa"/>
              <w:end w:w="120" w:type="dxa"/>
            </w:tcMar>
            <w:tcBorders>
              <w:top w:val="nil"/>
              <w:start w:val="nil"/>
              <w:bottom w:val="nil"/>
              <w:end w:val="nil"/>
            </w:tcBorders>
          </w:tcPr>
          <w:p>
            <w:pPr>
              <w:jc w:val="center"/>
            </w:pPr>
            <w:r>
              <w:rPr>
                <w:rFonts w:ascii="Inter Display" w:hAnsi="Inter Display" w:eastAsia="Inter Display"/>
                <w:b/>
                <w:color w:val="FFFFFF"/>
                <w:sz w:val="36"/>
              </w:rPr>
              <w:t>10</w:t>
            </w:r>
          </w:p>
        </w:tc>
        <w:tc>
          <w:tcPr>
            <w:tcW w:type="dxa" w:w="8617"/>
            <w:shd w:fill="F6F4F1"/>
            <w:tcMar>
              <w:top w:w="120" w:type="dxa"/>
              <w:start w:w="120" w:type="dxa"/>
              <w:bottom w:w="120" w:type="dxa"/>
              <w:end w:w="120" w:type="dxa"/>
            </w:tcMar>
            <w:tcBorders>
              <w:top w:val="nil"/>
              <w:start w:val="nil"/>
              <w:bottom w:val="nil"/>
              <w:end w:val="nil"/>
            </w:tcBorders>
          </w:tcPr>
          <w:p>
            <w:r>
              <w:rPr>
                <w:rFonts w:ascii="Inter Display" w:hAnsi="Inter Display" w:eastAsia="Inter Display"/>
                <w:b/>
                <w:color w:val="231F20"/>
                <w:sz w:val="28"/>
              </w:rPr>
              <w:t>Sources and limitations</w:t>
            </w:r>
          </w:p>
          <w:p>
            <w:pPr>
              <w:keepNext w:val="0"/>
              <w:keepLines w:val="0"/>
              <w:spacing w:before="0" w:after="0" w:line="245" w:lineRule="auto"/>
            </w:pPr>
            <w:r>
              <w:rPr>
                <w:rFonts w:ascii="Inter" w:hAnsi="Inter" w:eastAsia="Inter"/>
                <w:color w:val="6E6E6E"/>
                <w:sz w:val="18"/>
              </w:rPr>
              <w:t>Internal working documents, official competitor pages, research and regulatory references used for this report.</w:t>
            </w:r>
          </w:p>
        </w:tc>
      </w:tr>
    </w:tbl>
    <w:p>
      <w:pPr>
        <w:spacing w:after="0"/>
      </w:pPr>
    </w:p>
    <w:p>
      <w:pPr>
        <w:pStyle w:val="Heading2"/>
      </w:pPr>
      <w:r>
        <w:t>Internal NutriSync sources</w:t>
      </w:r>
    </w:p>
    <w:p>
      <w:pPr>
        <w:keepNext w:val="0"/>
        <w:keepLines w:val="0"/>
        <w:spacing w:before="0" w:after="60" w:line="254" w:lineRule="auto"/>
      </w:pPr>
      <w:r>
        <w:rPr>
          <w:rFonts w:ascii="Inter" w:hAnsi="Inter" w:eastAsia="Inter"/>
          <w:b/>
          <w:color w:val="C94334"/>
          <w:sz w:val="17"/>
        </w:rPr>
        <w:t xml:space="preserve">[I1] </w:t>
      </w:r>
      <w:r>
        <w:rPr>
          <w:rFonts w:ascii="Inter" w:hAnsi="Inter" w:eastAsia="Inter"/>
          <w:b/>
          <w:color w:val="2B2B2B"/>
          <w:sz w:val="17"/>
        </w:rPr>
        <w:t>NutriSync RTSS pitch deck</w:t>
      </w:r>
      <w:r>
        <w:rPr>
          <w:rFonts w:ascii="Inter" w:hAnsi="Inter" w:eastAsia="Inter"/>
          <w:color w:val="2B2B2B"/>
          <w:sz w:val="17"/>
        </w:rPr>
        <w:t>. Attached 19-page PDF; capability analysis on page 7.</w:t>
      </w:r>
    </w:p>
    <w:p>
      <w:pPr>
        <w:keepNext w:val="0"/>
        <w:keepLines w:val="0"/>
        <w:spacing w:before="0" w:after="60" w:line="254" w:lineRule="auto"/>
      </w:pPr>
      <w:r>
        <w:rPr>
          <w:rFonts w:ascii="Inter" w:hAnsi="Inter" w:eastAsia="Inter"/>
          <w:b/>
          <w:color w:val="C94334"/>
          <w:sz w:val="17"/>
        </w:rPr>
        <w:t xml:space="preserve">[I2] </w:t>
      </w:r>
      <w:r>
        <w:rPr>
          <w:rFonts w:ascii="Inter" w:hAnsi="Inter" w:eastAsia="Inter"/>
          <w:b/>
          <w:color w:val="2B2B2B"/>
          <w:sz w:val="17"/>
        </w:rPr>
        <w:t>NutriSync 10 Types Innovation Proposal</w:t>
      </w:r>
      <w:r>
        <w:rPr>
          <w:rFonts w:ascii="Inter" w:hAnsi="Inter" w:eastAsia="Inter"/>
          <w:color w:val="2B2B2B"/>
          <w:sz w:val="17"/>
        </w:rPr>
        <w:t>. August 2026; segment-of-one proposition, ten-types overlay, action-response loop and evidence roadmap.</w:t>
      </w:r>
    </w:p>
    <w:p>
      <w:pPr>
        <w:keepNext w:val="0"/>
        <w:keepLines w:val="0"/>
        <w:spacing w:before="0" w:after="60" w:line="254" w:lineRule="auto"/>
      </w:pPr>
      <w:r>
        <w:rPr>
          <w:rFonts w:ascii="Inter" w:hAnsi="Inter" w:eastAsia="Inter"/>
          <w:b/>
          <w:color w:val="C94334"/>
          <w:sz w:val="17"/>
        </w:rPr>
        <w:t xml:space="preserve">[I3] </w:t>
      </w:r>
      <w:r>
        <w:rPr>
          <w:rFonts w:ascii="Inter" w:hAnsi="Inter" w:eastAsia="Inter"/>
          <w:b/>
          <w:color w:val="2B2B2B"/>
          <w:sz w:val="17"/>
        </w:rPr>
        <w:t>NutriSync PPT August 2026 (3)</w:t>
      </w:r>
      <w:r>
        <w:rPr>
          <w:rFonts w:ascii="Inter" w:hAnsi="Inter" w:eastAsia="Inter"/>
          <w:color w:val="2B2B2B"/>
          <w:sz w:val="17"/>
        </w:rPr>
        <w:t>. Adaptive Cycle Intelligence, scoring logic and deep-tech rollout.</w:t>
      </w:r>
    </w:p>
    <w:p>
      <w:pPr>
        <w:keepNext w:val="0"/>
        <w:keepLines w:val="0"/>
        <w:spacing w:before="0" w:after="60" w:line="254" w:lineRule="auto"/>
      </w:pPr>
      <w:r>
        <w:rPr>
          <w:rFonts w:ascii="Inter" w:hAnsi="Inter" w:eastAsia="Inter"/>
          <w:b/>
          <w:color w:val="C94334"/>
          <w:sz w:val="17"/>
        </w:rPr>
        <w:t xml:space="preserve">[I4] </w:t>
      </w:r>
      <w:r>
        <w:rPr>
          <w:rFonts w:ascii="Inter" w:hAnsi="Inter" w:eastAsia="Inter"/>
          <w:b/>
          <w:color w:val="2B2B2B"/>
          <w:sz w:val="17"/>
        </w:rPr>
        <w:t>NutriSync Privacy Policy - final counsel-review draft</w:t>
      </w:r>
      <w:r>
        <w:rPr>
          <w:rFonts w:ascii="Inter" w:hAnsi="Inter" w:eastAsia="Inter"/>
          <w:color w:val="2B2B2B"/>
          <w:sz w:val="17"/>
        </w:rPr>
        <w:t>. Version 1.0, 4 August 2026; personalisation, profiling, processors, transfers and consent position.</w:t>
      </w:r>
    </w:p>
    <w:p>
      <w:pPr>
        <w:keepNext w:val="0"/>
        <w:keepLines w:val="0"/>
        <w:spacing w:before="0" w:after="60" w:line="254" w:lineRule="auto"/>
      </w:pPr>
      <w:r>
        <w:rPr>
          <w:rFonts w:ascii="Inter" w:hAnsi="Inter" w:eastAsia="Inter"/>
          <w:b/>
          <w:color w:val="C94334"/>
          <w:sz w:val="17"/>
        </w:rPr>
        <w:t xml:space="preserve">[I5] </w:t>
      </w:r>
      <w:r>
        <w:rPr>
          <w:rFonts w:ascii="Inter" w:hAnsi="Inter" w:eastAsia="Inter"/>
          <w:b/>
          <w:color w:val="2B2B2B"/>
          <w:sz w:val="17"/>
        </w:rPr>
        <w:t>NutriSync Cookie, Storage and SDK Policy - final counsel-review draft</w:t>
      </w:r>
      <w:r>
        <w:rPr>
          <w:rFonts w:ascii="Inter" w:hAnsi="Inter" w:eastAsia="Inter"/>
          <w:color w:val="2B2B2B"/>
          <w:sz w:val="17"/>
        </w:rPr>
        <w:t>. Technical inventory verified 4 August 2026; no active analytics, advertising, attribution, tracking or wearable SDK in the audited build.</w:t>
      </w:r>
    </w:p>
    <w:p>
      <w:pPr>
        <w:keepNext w:val="0"/>
        <w:keepLines w:val="0"/>
        <w:spacing w:before="0" w:after="60" w:line="254" w:lineRule="auto"/>
      </w:pPr>
      <w:r>
        <w:rPr>
          <w:rFonts w:ascii="Inter" w:hAnsi="Inter" w:eastAsia="Inter"/>
          <w:b/>
          <w:color w:val="C94334"/>
          <w:sz w:val="17"/>
        </w:rPr>
        <w:t xml:space="preserve">[I6] </w:t>
      </w:r>
      <w:r>
        <w:rPr>
          <w:rFonts w:ascii="Inter" w:hAnsi="Inter" w:eastAsia="Inter"/>
          <w:b/>
          <w:color w:val="2B2B2B"/>
          <w:sz w:val="17"/>
        </w:rPr>
        <w:t>NutriSync Health and Medical Notice - final counsel-review draft</w:t>
      </w:r>
      <w:r>
        <w:rPr>
          <w:rFonts w:ascii="Inter" w:hAnsi="Inter" w:eastAsia="Inter"/>
          <w:color w:val="2B2B2B"/>
          <w:sz w:val="17"/>
        </w:rPr>
        <w:t>. Version 1.0, 4 August 2026; wellbeing positioning, estimates, accuracy and regulatory boundaries.</w:t>
      </w:r>
    </w:p>
    <w:p>
      <w:pPr>
        <w:pStyle w:val="Heading2"/>
      </w:pPr>
      <w:r>
        <w:t>Official competitor sources</w:t>
      </w:r>
    </w:p>
    <w:p>
      <w:pPr>
        <w:keepNext w:val="0"/>
        <w:keepLines w:val="0"/>
        <w:spacing w:before="0" w:after="60" w:line="254" w:lineRule="auto"/>
      </w:pPr>
      <w:r>
        <w:rPr>
          <w:rFonts w:ascii="Inter" w:hAnsi="Inter" w:eastAsia="Inter"/>
          <w:b/>
          <w:color w:val="C94334"/>
          <w:sz w:val="17"/>
        </w:rPr>
        <w:t xml:space="preserve">[E1] </w:t>
      </w:r>
      <w:hyperlink r:id="rId20">
        <w:r>
          <w:rPr>
            <w:rFonts w:ascii="Inter" w:hAnsi="Inter"/>
            <w:color w:val="5D7692"/>
            <w:u w:val="single"/>
          </w:rPr>
          <w:t>Flo - official product overview</w:t>
        </w:r>
      </w:hyperlink>
      <w:r>
        <w:rPr>
          <w:rFonts w:ascii="Inter" w:hAnsi="Inter" w:eastAsia="Inter"/>
          <w:color w:val="2B2B2B"/>
          <w:sz w:val="17"/>
        </w:rPr>
        <w:t>. Features and product modes; accessed 8 Aug 2026.</w:t>
      </w:r>
    </w:p>
    <w:p>
      <w:pPr>
        <w:keepNext w:val="0"/>
        <w:keepLines w:val="0"/>
        <w:spacing w:before="0" w:after="60" w:line="254" w:lineRule="auto"/>
      </w:pPr>
      <w:r>
        <w:rPr>
          <w:rFonts w:ascii="Inter" w:hAnsi="Inter" w:eastAsia="Inter"/>
          <w:b/>
          <w:color w:val="C94334"/>
          <w:sz w:val="17"/>
        </w:rPr>
        <w:t xml:space="preserve">[E2] </w:t>
      </w:r>
      <w:hyperlink r:id="rId21">
        <w:r>
          <w:rPr>
            <w:rFonts w:ascii="Inter" w:hAnsi="Inter"/>
            <w:color w:val="5D7692"/>
            <w:u w:val="single"/>
          </w:rPr>
          <w:t>Flo - healthcare professionals</w:t>
        </w:r>
      </w:hyperlink>
      <w:r>
        <w:rPr>
          <w:rFonts w:ascii="Inter" w:hAnsi="Inter" w:eastAsia="Inter"/>
          <w:color w:val="2B2B2B"/>
          <w:sz w:val="17"/>
        </w:rPr>
        <w:t>. Symptom logging and clinician conversation support; accessed 8 Aug 2026.</w:t>
      </w:r>
    </w:p>
    <w:p>
      <w:pPr>
        <w:keepNext w:val="0"/>
        <w:keepLines w:val="0"/>
        <w:spacing w:before="0" w:after="60" w:line="254" w:lineRule="auto"/>
      </w:pPr>
      <w:r>
        <w:rPr>
          <w:rFonts w:ascii="Inter" w:hAnsi="Inter" w:eastAsia="Inter"/>
          <w:b/>
          <w:color w:val="C94334"/>
          <w:sz w:val="17"/>
        </w:rPr>
        <w:t xml:space="preserve">[E3] </w:t>
      </w:r>
      <w:hyperlink r:id="rId22">
        <w:r>
          <w:rPr>
            <w:rFonts w:ascii="Inter" w:hAnsi="Inter"/>
            <w:color w:val="5D7692"/>
            <w:u w:val="single"/>
          </w:rPr>
          <w:t>Flo - privacy policy and portal</w:t>
        </w:r>
      </w:hyperlink>
      <w:r>
        <w:rPr>
          <w:rFonts w:ascii="Inter" w:hAnsi="Inter" w:eastAsia="Inter"/>
          <w:color w:val="2B2B2B"/>
          <w:sz w:val="17"/>
        </w:rPr>
        <w:t>. Current privacy information; accessed 8 Aug 2026.</w:t>
      </w:r>
    </w:p>
    <w:p>
      <w:pPr>
        <w:keepNext w:val="0"/>
        <w:keepLines w:val="0"/>
        <w:spacing w:before="0" w:after="60" w:line="254" w:lineRule="auto"/>
      </w:pPr>
      <w:r>
        <w:rPr>
          <w:rFonts w:ascii="Inter" w:hAnsi="Inter" w:eastAsia="Inter"/>
          <w:b/>
          <w:color w:val="C94334"/>
          <w:sz w:val="17"/>
        </w:rPr>
        <w:t xml:space="preserve">[E4] </w:t>
      </w:r>
      <w:hyperlink r:id="rId23">
        <w:r>
          <w:rPr>
            <w:rFonts w:ascii="Inter" w:hAnsi="Inter"/>
            <w:color w:val="5D7692"/>
            <w:u w:val="single"/>
          </w:rPr>
          <w:t>Clue - official product overview</w:t>
        </w:r>
      </w:hyperlink>
      <w:r>
        <w:rPr>
          <w:rFonts w:ascii="Inter" w:hAnsi="Inter" w:eastAsia="Inter"/>
          <w:color w:val="2B2B2B"/>
          <w:sz w:val="17"/>
        </w:rPr>
        <w:t>. Predictions, modes, pattern analysis and expert content; accessed 8 Aug 2026.</w:t>
      </w:r>
    </w:p>
    <w:p>
      <w:pPr>
        <w:keepNext w:val="0"/>
        <w:keepLines w:val="0"/>
        <w:spacing w:before="0" w:after="60" w:line="254" w:lineRule="auto"/>
      </w:pPr>
      <w:r>
        <w:rPr>
          <w:rFonts w:ascii="Inter" w:hAnsi="Inter" w:eastAsia="Inter"/>
          <w:b/>
          <w:color w:val="C94334"/>
          <w:sz w:val="17"/>
        </w:rPr>
        <w:t xml:space="preserve">[E5] </w:t>
      </w:r>
      <w:hyperlink r:id="rId24">
        <w:r>
          <w:rPr>
            <w:rFonts w:ascii="Inter" w:hAnsi="Inter"/>
            <w:color w:val="5D7692"/>
            <w:u w:val="single"/>
          </w:rPr>
          <w:t>Clue - wearable integrations and privacy</w:t>
        </w:r>
      </w:hyperlink>
      <w:r>
        <w:rPr>
          <w:rFonts w:ascii="Inter" w:hAnsi="Inter" w:eastAsia="Inter"/>
          <w:color w:val="2B2B2B"/>
          <w:sz w:val="17"/>
        </w:rPr>
        <w:t>. Oura/wearables, privacy and pattern insights; accessed 8 Aug 2026.</w:t>
      </w:r>
    </w:p>
    <w:p>
      <w:pPr>
        <w:keepNext w:val="0"/>
        <w:keepLines w:val="0"/>
        <w:spacing w:before="0" w:after="60" w:line="254" w:lineRule="auto"/>
      </w:pPr>
      <w:r>
        <w:rPr>
          <w:rFonts w:ascii="Inter" w:hAnsi="Inter" w:eastAsia="Inter"/>
          <w:b/>
          <w:color w:val="C94334"/>
          <w:sz w:val="17"/>
        </w:rPr>
        <w:t xml:space="preserve">[E6] </w:t>
      </w:r>
      <w:hyperlink r:id="rId25">
        <w:r>
          <w:rPr>
            <w:rFonts w:ascii="Inter" w:hAnsi="Inter"/>
            <w:color w:val="5D7692"/>
            <w:u w:val="single"/>
          </w:rPr>
          <w:t>Ovia Health - official overview</w:t>
        </w:r>
      </w:hyperlink>
      <w:r>
        <w:rPr>
          <w:rFonts w:ascii="Inter" w:hAnsi="Inter" w:eastAsia="Inter"/>
          <w:color w:val="2B2B2B"/>
          <w:sz w:val="17"/>
        </w:rPr>
        <w:t>. Personalised reproductive and family-health platform; accessed 8 Aug 2026.</w:t>
      </w:r>
    </w:p>
    <w:p>
      <w:pPr>
        <w:keepNext w:val="0"/>
        <w:keepLines w:val="0"/>
        <w:spacing w:before="0" w:after="60" w:line="254" w:lineRule="auto"/>
      </w:pPr>
      <w:r>
        <w:rPr>
          <w:rFonts w:ascii="Inter" w:hAnsi="Inter" w:eastAsia="Inter"/>
          <w:b/>
          <w:color w:val="C94334"/>
          <w:sz w:val="17"/>
        </w:rPr>
        <w:t xml:space="preserve">[E7] </w:t>
      </w:r>
      <w:hyperlink r:id="rId26">
        <w:r>
          <w:rPr>
            <w:rFonts w:ascii="Inter" w:hAnsi="Inter"/>
            <w:color w:val="5D7692"/>
            <w:u w:val="single"/>
          </w:rPr>
          <w:t>Ovia - employer family benefits</w:t>
        </w:r>
      </w:hyperlink>
      <w:r>
        <w:rPr>
          <w:rFonts w:ascii="Inter" w:hAnsi="Inter" w:eastAsia="Inter"/>
          <w:color w:val="2B2B2B"/>
          <w:sz w:val="17"/>
        </w:rPr>
        <w:t>. Employer distribution; accessed 8 Aug 2026.</w:t>
      </w:r>
    </w:p>
    <w:p>
      <w:pPr>
        <w:keepNext w:val="0"/>
        <w:keepLines w:val="0"/>
        <w:spacing w:before="0" w:after="60" w:line="254" w:lineRule="auto"/>
      </w:pPr>
      <w:r>
        <w:rPr>
          <w:rFonts w:ascii="Inter" w:hAnsi="Inter" w:eastAsia="Inter"/>
          <w:b/>
          <w:color w:val="C94334"/>
          <w:sz w:val="17"/>
        </w:rPr>
        <w:t xml:space="preserve">[E8] </w:t>
      </w:r>
      <w:hyperlink r:id="rId27">
        <w:r>
          <w:rPr>
            <w:rFonts w:ascii="Inter" w:hAnsi="Inter"/>
            <w:color w:val="5D7692"/>
            <w:u w:val="single"/>
          </w:rPr>
          <w:t>Ovia - app and join pages</w:t>
        </w:r>
      </w:hyperlink>
      <w:r>
        <w:rPr>
          <w:rFonts w:ascii="Inter" w:hAnsi="Inter" w:eastAsia="Inter"/>
          <w:color w:val="2B2B2B"/>
          <w:sz w:val="17"/>
        </w:rPr>
        <w:t>. Life-stage modes, personalised content and Ovia+ care access; accessed 8 Aug 2026.</w:t>
      </w:r>
    </w:p>
    <w:p>
      <w:pPr>
        <w:keepNext w:val="0"/>
        <w:keepLines w:val="0"/>
        <w:spacing w:before="0" w:after="60" w:line="254" w:lineRule="auto"/>
      </w:pPr>
      <w:r>
        <w:rPr>
          <w:rFonts w:ascii="Inter" w:hAnsi="Inter" w:eastAsia="Inter"/>
          <w:b/>
          <w:color w:val="C94334"/>
          <w:sz w:val="17"/>
        </w:rPr>
        <w:t xml:space="preserve">[E9] </w:t>
      </w:r>
      <w:hyperlink r:id="rId28">
        <w:r>
          <w:rPr>
            <w:rFonts w:ascii="Inter" w:hAnsi="Inter"/>
            <w:color w:val="5D7692"/>
            <w:u w:val="single"/>
          </w:rPr>
          <w:t>Natural Cycles - official overview</w:t>
        </w:r>
      </w:hyperlink>
      <w:r>
        <w:rPr>
          <w:rFonts w:ascii="Inter" w:hAnsi="Inter" w:eastAsia="Inter"/>
          <w:color w:val="2B2B2B"/>
          <w:sz w:val="17"/>
        </w:rPr>
        <w:t>. FDA-cleared birth-control positioning; accessed 8 Aug 2026.</w:t>
      </w:r>
    </w:p>
    <w:p>
      <w:pPr>
        <w:keepNext w:val="0"/>
        <w:keepLines w:val="0"/>
        <w:spacing w:before="0" w:after="60" w:line="254" w:lineRule="auto"/>
      </w:pPr>
      <w:r>
        <w:rPr>
          <w:rFonts w:ascii="Inter" w:hAnsi="Inter" w:eastAsia="Inter"/>
          <w:b/>
          <w:color w:val="C94334"/>
          <w:sz w:val="17"/>
        </w:rPr>
        <w:t xml:space="preserve">[E10] </w:t>
      </w:r>
      <w:hyperlink r:id="rId29">
        <w:r>
          <w:rPr>
            <w:rFonts w:ascii="Inter" w:hAnsi="Inter"/>
            <w:color w:val="5D7692"/>
            <w:u w:val="single"/>
          </w:rPr>
          <w:t>Natural Cycles - how it works and devices</w:t>
        </w:r>
      </w:hyperlink>
      <w:r>
        <w:rPr>
          <w:rFonts w:ascii="Inter" w:hAnsi="Inter" w:eastAsia="Inter"/>
          <w:color w:val="2B2B2B"/>
          <w:sz w:val="17"/>
        </w:rPr>
        <w:t>. Temperature algorithm and compatible wearables; accessed 8 Aug 2026.</w:t>
      </w:r>
    </w:p>
    <w:p>
      <w:pPr>
        <w:keepNext w:val="0"/>
        <w:keepLines w:val="0"/>
        <w:spacing w:before="0" w:after="60" w:line="254" w:lineRule="auto"/>
      </w:pPr>
      <w:r>
        <w:rPr>
          <w:rFonts w:ascii="Inter" w:hAnsi="Inter" w:eastAsia="Inter"/>
          <w:b/>
          <w:color w:val="C94334"/>
          <w:sz w:val="17"/>
        </w:rPr>
        <w:t xml:space="preserve">[E11] </w:t>
      </w:r>
      <w:hyperlink r:id="rId30">
        <w:r>
          <w:rPr>
            <w:rFonts w:ascii="Inter" w:hAnsi="Inter"/>
            <w:color w:val="5D7692"/>
            <w:u w:val="single"/>
          </w:rPr>
          <w:t>MyFLO - official Cycle Syncing app</w:t>
        </w:r>
      </w:hyperlink>
      <w:r>
        <w:rPr>
          <w:rFonts w:ascii="Inter" w:hAnsi="Inter" w:eastAsia="Inter"/>
          <w:color w:val="2B2B2B"/>
          <w:sz w:val="17"/>
        </w:rPr>
        <w:t>. Daily insights, recipes, meal plans, workouts, scores and privacy claims; accessed 8 Aug 2026.</w:t>
      </w:r>
    </w:p>
    <w:p>
      <w:pPr>
        <w:keepNext w:val="0"/>
        <w:keepLines w:val="0"/>
        <w:spacing w:before="0" w:after="60" w:line="254" w:lineRule="auto"/>
      </w:pPr>
      <w:r>
        <w:rPr>
          <w:rFonts w:ascii="Inter" w:hAnsi="Inter" w:eastAsia="Inter"/>
          <w:b/>
          <w:color w:val="C94334"/>
          <w:sz w:val="17"/>
        </w:rPr>
        <w:t xml:space="preserve">[E12] </w:t>
      </w:r>
      <w:hyperlink r:id="rId31">
        <w:r>
          <w:rPr>
            <w:rFonts w:ascii="Inter" w:hAnsi="Inter"/>
            <w:color w:val="5D7692"/>
            <w:u w:val="single"/>
          </w:rPr>
          <w:t>FLO Living - official site</w:t>
        </w:r>
      </w:hyperlink>
      <w:r>
        <w:rPr>
          <w:rFonts w:ascii="Inter" w:hAnsi="Inter" w:eastAsia="Inter"/>
          <w:color w:val="2B2B2B"/>
          <w:sz w:val="17"/>
        </w:rPr>
        <w:t>. Company-reported study and broader service ecosystem; accessed 8 Aug 2026.</w:t>
      </w:r>
    </w:p>
    <w:p>
      <w:pPr>
        <w:keepNext w:val="0"/>
        <w:keepLines w:val="0"/>
        <w:spacing w:before="0" w:after="60" w:line="254" w:lineRule="auto"/>
      </w:pPr>
      <w:r>
        <w:rPr>
          <w:rFonts w:ascii="Inter" w:hAnsi="Inter" w:eastAsia="Inter"/>
          <w:b/>
          <w:color w:val="C94334"/>
          <w:sz w:val="17"/>
        </w:rPr>
        <w:t xml:space="preserve">[E13] </w:t>
      </w:r>
      <w:hyperlink r:id="rId32">
        <w:r>
          <w:rPr>
            <w:rFonts w:ascii="Inter" w:hAnsi="Inter"/>
            <w:color w:val="5D7692"/>
            <w:u w:val="single"/>
          </w:rPr>
          <w:t>28 - official app site</w:t>
        </w:r>
      </w:hyperlink>
      <w:r>
        <w:rPr>
          <w:rFonts w:ascii="Inter" w:hAnsi="Inter" w:eastAsia="Inter"/>
          <w:color w:val="2B2B2B"/>
          <w:sz w:val="17"/>
        </w:rPr>
        <w:t>. Daily insights, nutrition and exercise videos; accessed 8 Aug 2026.</w:t>
      </w:r>
    </w:p>
    <w:p>
      <w:pPr>
        <w:keepNext w:val="0"/>
        <w:keepLines w:val="0"/>
        <w:spacing w:before="0" w:after="60" w:line="254" w:lineRule="auto"/>
      </w:pPr>
      <w:r>
        <w:rPr>
          <w:rFonts w:ascii="Inter" w:hAnsi="Inter" w:eastAsia="Inter"/>
          <w:b/>
          <w:color w:val="C94334"/>
          <w:sz w:val="17"/>
        </w:rPr>
        <w:t xml:space="preserve">[E14] </w:t>
      </w:r>
      <w:hyperlink r:id="rId33">
        <w:r>
          <w:rPr>
            <w:rFonts w:ascii="Inter" w:hAnsi="Inter"/>
            <w:color w:val="5D7692"/>
            <w:u w:val="single"/>
          </w:rPr>
          <w:t>Lively - official app site</w:t>
        </w:r>
      </w:hyperlink>
      <w:r>
        <w:rPr>
          <w:rFonts w:ascii="Inter" w:hAnsi="Inter" w:eastAsia="Inter"/>
          <w:color w:val="2B2B2B"/>
          <w:sz w:val="17"/>
        </w:rPr>
        <w:t>. Cycle syncing, AI Advisor, pattern reports and care-team reports; accessed 8 Aug 2026.</w:t>
      </w:r>
    </w:p>
    <w:p>
      <w:pPr>
        <w:keepNext w:val="0"/>
        <w:keepLines w:val="0"/>
        <w:spacing w:before="0" w:after="60" w:line="254" w:lineRule="auto"/>
      </w:pPr>
      <w:r>
        <w:rPr>
          <w:rFonts w:ascii="Inter" w:hAnsi="Inter" w:eastAsia="Inter"/>
          <w:b/>
          <w:color w:val="C94334"/>
          <w:sz w:val="17"/>
        </w:rPr>
        <w:t xml:space="preserve">[E15] </w:t>
      </w:r>
      <w:hyperlink r:id="rId34">
        <w:r>
          <w:rPr>
            <w:rFonts w:ascii="Inter" w:hAnsi="Inter"/>
            <w:color w:val="5D7692"/>
            <w:u w:val="single"/>
          </w:rPr>
          <w:t>Lively - privacy hub</w:t>
        </w:r>
      </w:hyperlink>
      <w:r>
        <w:rPr>
          <w:rFonts w:ascii="Inter" w:hAnsi="Inter" w:eastAsia="Inter"/>
          <w:color w:val="2B2B2B"/>
          <w:sz w:val="17"/>
        </w:rPr>
        <w:t>. Public privacy posture; accessed 8 Aug 2026.</w:t>
      </w:r>
    </w:p>
    <w:p>
      <w:pPr>
        <w:keepNext w:val="0"/>
        <w:keepLines w:val="0"/>
        <w:spacing w:before="0" w:after="60" w:line="254" w:lineRule="auto"/>
      </w:pPr>
      <w:r>
        <w:rPr>
          <w:rFonts w:ascii="Inter" w:hAnsi="Inter" w:eastAsia="Inter"/>
          <w:b/>
          <w:color w:val="C94334"/>
          <w:sz w:val="17"/>
        </w:rPr>
        <w:t xml:space="preserve">[E16] </w:t>
      </w:r>
      <w:hyperlink r:id="rId35">
        <w:r>
          <w:rPr>
            <w:rFonts w:ascii="Inter" w:hAnsi="Inter"/>
            <w:color w:val="5D7692"/>
            <w:u w:val="single"/>
          </w:rPr>
          <w:t>Wild.AI - official product site</w:t>
        </w:r>
      </w:hyperlink>
      <w:r>
        <w:rPr>
          <w:rFonts w:ascii="Inter" w:hAnsi="Inter" w:eastAsia="Inter"/>
          <w:color w:val="2B2B2B"/>
          <w:sz w:val="17"/>
        </w:rPr>
        <w:t>. Adaptive training, nutrition, recovery and wearables; accessed 8 Aug 2026.</w:t>
      </w:r>
    </w:p>
    <w:p>
      <w:pPr>
        <w:keepNext w:val="0"/>
        <w:keepLines w:val="0"/>
        <w:spacing w:before="0" w:after="60" w:line="254" w:lineRule="auto"/>
      </w:pPr>
      <w:r>
        <w:rPr>
          <w:rFonts w:ascii="Inter" w:hAnsi="Inter" w:eastAsia="Inter"/>
          <w:b/>
          <w:color w:val="C94334"/>
          <w:sz w:val="17"/>
        </w:rPr>
        <w:t xml:space="preserve">[E17] </w:t>
      </w:r>
      <w:hyperlink r:id="rId36">
        <w:r>
          <w:rPr>
            <w:rFonts w:ascii="Inter" w:hAnsi="Inter"/>
            <w:color w:val="5D7692"/>
            <w:u w:val="single"/>
          </w:rPr>
          <w:t>Wild.AI - privacy policy</w:t>
        </w:r>
      </w:hyperlink>
      <w:r>
        <w:rPr>
          <w:rFonts w:ascii="Inter" w:hAnsi="Inter" w:eastAsia="Inter"/>
          <w:color w:val="2B2B2B"/>
          <w:sz w:val="17"/>
        </w:rPr>
        <w:t>. Zepp Health ownership and privacy terms; accessed 8 Aug 2026.</w:t>
      </w:r>
    </w:p>
    <w:p>
      <w:pPr>
        <w:keepNext w:val="0"/>
        <w:keepLines w:val="0"/>
        <w:spacing w:before="0" w:after="60" w:line="254" w:lineRule="auto"/>
      </w:pPr>
      <w:r>
        <w:rPr>
          <w:rFonts w:ascii="Inter" w:hAnsi="Inter" w:eastAsia="Inter"/>
          <w:b/>
          <w:color w:val="C94334"/>
          <w:sz w:val="17"/>
        </w:rPr>
        <w:t xml:space="preserve">[E18] </w:t>
      </w:r>
      <w:hyperlink r:id="rId37">
        <w:r>
          <w:rPr>
            <w:rFonts w:ascii="Inter" w:hAnsi="Inter"/>
            <w:color w:val="5D7692"/>
            <w:u w:val="single"/>
          </w:rPr>
          <w:t>FitrWoman - mobile app</w:t>
        </w:r>
      </w:hyperlink>
      <w:r>
        <w:rPr>
          <w:rFonts w:ascii="Inter" w:hAnsi="Inter" w:eastAsia="Inter"/>
          <w:color w:val="2B2B2B"/>
          <w:sz w:val="17"/>
        </w:rPr>
        <w:t>. Cycle-aware training, recovery, nutrition and trends; accessed 8 Aug 2026.</w:t>
      </w:r>
    </w:p>
    <w:p>
      <w:pPr>
        <w:keepNext w:val="0"/>
        <w:keepLines w:val="0"/>
        <w:spacing w:before="0" w:after="60" w:line="254" w:lineRule="auto"/>
      </w:pPr>
      <w:r>
        <w:rPr>
          <w:rFonts w:ascii="Inter" w:hAnsi="Inter" w:eastAsia="Inter"/>
          <w:b/>
          <w:color w:val="C94334"/>
          <w:sz w:val="17"/>
        </w:rPr>
        <w:t xml:space="preserve">[E19] </w:t>
      </w:r>
      <w:hyperlink r:id="rId38">
        <w:r>
          <w:rPr>
            <w:rFonts w:ascii="Inter" w:hAnsi="Inter"/>
            <w:color w:val="5D7692"/>
            <w:u w:val="single"/>
          </w:rPr>
          <w:t>FitrCoach - coach platform</w:t>
        </w:r>
      </w:hyperlink>
      <w:r>
        <w:rPr>
          <w:rFonts w:ascii="Inter" w:hAnsi="Inter" w:eastAsia="Inter"/>
          <w:color w:val="2B2B2B"/>
          <w:sz w:val="17"/>
        </w:rPr>
        <w:t>. Coach and team distribution; accessed 8 Aug 2026.</w:t>
      </w:r>
    </w:p>
    <w:p>
      <w:pPr>
        <w:keepNext w:val="0"/>
        <w:keepLines w:val="0"/>
        <w:spacing w:before="0" w:after="60" w:line="254" w:lineRule="auto"/>
      </w:pPr>
      <w:r>
        <w:rPr>
          <w:rFonts w:ascii="Inter" w:hAnsi="Inter" w:eastAsia="Inter"/>
          <w:b/>
          <w:color w:val="C94334"/>
          <w:sz w:val="17"/>
        </w:rPr>
        <w:t xml:space="preserve">[E20] </w:t>
      </w:r>
      <w:hyperlink r:id="rId39">
        <w:r>
          <w:rPr>
            <w:rFonts w:ascii="Inter" w:hAnsi="Inter"/>
            <w:color w:val="5D7692"/>
            <w:u w:val="single"/>
          </w:rPr>
          <w:t>Hormona - official site</w:t>
        </w:r>
      </w:hyperlink>
      <w:r>
        <w:rPr>
          <w:rFonts w:ascii="Inter" w:hAnsi="Inter" w:eastAsia="Inter"/>
          <w:color w:val="2B2B2B"/>
          <w:sz w:val="17"/>
        </w:rPr>
        <w:t>. AI-labelled symptom tracking, predictions and scanner; accessed 8 Aug 2026.</w:t>
      </w:r>
    </w:p>
    <w:p>
      <w:pPr>
        <w:keepNext w:val="0"/>
        <w:keepLines w:val="0"/>
        <w:spacing w:before="0" w:after="60" w:line="254" w:lineRule="auto"/>
      </w:pPr>
      <w:r>
        <w:rPr>
          <w:rFonts w:ascii="Inter" w:hAnsi="Inter" w:eastAsia="Inter"/>
          <w:b/>
          <w:color w:val="C94334"/>
          <w:sz w:val="17"/>
        </w:rPr>
        <w:t xml:space="preserve">[E21] </w:t>
      </w:r>
      <w:hyperlink r:id="rId40">
        <w:r>
          <w:rPr>
            <w:rFonts w:ascii="Inter" w:hAnsi="Inter"/>
            <w:color w:val="5D7692"/>
            <w:u w:val="single"/>
          </w:rPr>
          <w:t>Hormona - perimenopause test</w:t>
        </w:r>
      </w:hyperlink>
      <w:r>
        <w:rPr>
          <w:rFonts w:ascii="Inter" w:hAnsi="Inter" w:eastAsia="Inter"/>
          <w:color w:val="2B2B2B"/>
          <w:sz w:val="17"/>
        </w:rPr>
        <w:t>. Longitudinal hormone trends and planned/availability-qualified test positioning; accessed 8 Aug 2026.</w:t>
      </w:r>
    </w:p>
    <w:p>
      <w:pPr>
        <w:keepNext w:val="0"/>
        <w:keepLines w:val="0"/>
        <w:spacing w:before="0" w:after="60" w:line="254" w:lineRule="auto"/>
      </w:pPr>
      <w:r>
        <w:rPr>
          <w:rFonts w:ascii="Inter" w:hAnsi="Inter" w:eastAsia="Inter"/>
          <w:b/>
          <w:color w:val="C94334"/>
          <w:sz w:val="17"/>
        </w:rPr>
        <w:t xml:space="preserve">[E22] </w:t>
      </w:r>
      <w:hyperlink r:id="rId41">
        <w:r>
          <w:rPr>
            <w:rFonts w:ascii="Inter" w:hAnsi="Inter"/>
            <w:color w:val="5D7692"/>
            <w:u w:val="single"/>
          </w:rPr>
          <w:t>US Federal Trade Commission - Flo Health case</w:t>
        </w:r>
      </w:hyperlink>
      <w:r>
        <w:rPr>
          <w:rFonts w:ascii="Inter" w:hAnsi="Inter" w:eastAsia="Inter"/>
          <w:color w:val="2B2B2B"/>
          <w:sz w:val="17"/>
        </w:rPr>
        <w:t>. Historical 2021 order concerning sensitive-data sharing and consent obligations.</w:t>
      </w:r>
    </w:p>
    <w:p>
      <w:pPr>
        <w:keepNext w:val="0"/>
        <w:keepLines w:val="0"/>
        <w:spacing w:before="0" w:after="60" w:line="254" w:lineRule="auto"/>
      </w:pPr>
      <w:r>
        <w:rPr>
          <w:rFonts w:ascii="Inter" w:hAnsi="Inter" w:eastAsia="Inter"/>
          <w:b/>
          <w:color w:val="C94334"/>
          <w:sz w:val="17"/>
        </w:rPr>
        <w:t xml:space="preserve">[E23] </w:t>
      </w:r>
      <w:hyperlink r:id="rId42">
        <w:r>
          <w:rPr>
            <w:rFonts w:ascii="Inter" w:hAnsi="Inter"/>
            <w:color w:val="5D7692"/>
            <w:u w:val="single"/>
          </w:rPr>
          <w:t>Moody Month - official site</w:t>
        </w:r>
      </w:hyperlink>
      <w:r>
        <w:rPr>
          <w:rFonts w:ascii="Inter" w:hAnsi="Inter" w:eastAsia="Inter"/>
          <w:color w:val="2B2B2B"/>
          <w:sz w:val="17"/>
        </w:rPr>
        <w:t>. Daily wellness, movement, mindfulness and nutrition; accessed 8 Aug 2026.</w:t>
      </w:r>
    </w:p>
    <w:p>
      <w:pPr>
        <w:keepNext w:val="0"/>
        <w:keepLines w:val="0"/>
        <w:spacing w:before="0" w:after="60" w:line="254" w:lineRule="auto"/>
      </w:pPr>
      <w:r>
        <w:rPr>
          <w:rFonts w:ascii="Inter" w:hAnsi="Inter" w:eastAsia="Inter"/>
          <w:b/>
          <w:color w:val="C94334"/>
          <w:sz w:val="17"/>
        </w:rPr>
        <w:t xml:space="preserve">[E24] </w:t>
      </w:r>
      <w:hyperlink r:id="rId43">
        <w:r>
          <w:rPr>
            <w:rFonts w:ascii="Inter" w:hAnsi="Inter"/>
            <w:color w:val="5D7692"/>
            <w:u w:val="single"/>
          </w:rPr>
          <w:t>Moody Month - app overview</w:t>
        </w:r>
      </w:hyperlink>
      <w:r>
        <w:rPr>
          <w:rFonts w:ascii="Inter" w:hAnsi="Inter" w:eastAsia="Inter"/>
          <w:color w:val="2B2B2B"/>
          <w:sz w:val="17"/>
        </w:rPr>
        <w:t>. Personalised feed and patterning; accessed 8 Aug 2026.</w:t>
      </w:r>
    </w:p>
    <w:p>
      <w:pPr>
        <w:keepNext w:val="0"/>
        <w:keepLines w:val="0"/>
        <w:spacing w:before="0" w:after="60" w:line="254" w:lineRule="auto"/>
      </w:pPr>
      <w:r>
        <w:rPr>
          <w:rFonts w:ascii="Inter" w:hAnsi="Inter" w:eastAsia="Inter"/>
          <w:b/>
          <w:color w:val="C94334"/>
          <w:sz w:val="17"/>
        </w:rPr>
        <w:t xml:space="preserve">[E25] </w:t>
      </w:r>
      <w:hyperlink r:id="rId44">
        <w:r>
          <w:rPr>
            <w:rFonts w:ascii="Inter" w:hAnsi="Inter"/>
            <w:color w:val="5D7692"/>
            <w:u w:val="single"/>
          </w:rPr>
          <w:t>Eative - official site</w:t>
        </w:r>
      </w:hyperlink>
      <w:r>
        <w:rPr>
          <w:rFonts w:ascii="Inter" w:hAnsi="Inter" w:eastAsia="Inter"/>
          <w:color w:val="2B2B2B"/>
          <w:sz w:val="17"/>
        </w:rPr>
        <w:t>. Hormone-aware nutrition and meal plans; accessed 8 Aug 2026.</w:t>
      </w:r>
    </w:p>
    <w:p>
      <w:pPr>
        <w:pStyle w:val="Heading2"/>
      </w:pPr>
      <w:r>
        <w:t>Research and regulatory context</w:t>
      </w:r>
    </w:p>
    <w:p>
      <w:pPr>
        <w:keepNext w:val="0"/>
        <w:keepLines w:val="0"/>
        <w:spacing w:before="0" w:after="60" w:line="254" w:lineRule="auto"/>
      </w:pPr>
      <w:r>
        <w:rPr>
          <w:rFonts w:ascii="Inter" w:hAnsi="Inter" w:eastAsia="Inter"/>
          <w:b/>
          <w:color w:val="C94334"/>
          <w:sz w:val="17"/>
        </w:rPr>
        <w:t xml:space="preserve">[E19R] </w:t>
      </w:r>
      <w:hyperlink r:id="rId45">
        <w:r>
          <w:rPr>
            <w:rFonts w:ascii="Inter" w:hAnsi="Inter"/>
            <w:color w:val="5D7692"/>
            <w:u w:val="single"/>
          </w:rPr>
          <w:t>Bull et al., Real-world menstrual cycle characteristics of more than 600,000 menstrual cycles</w:t>
        </w:r>
      </w:hyperlink>
      <w:r>
        <w:rPr>
          <w:rFonts w:ascii="Inter" w:hAnsi="Inter" w:eastAsia="Inter"/>
          <w:color w:val="2B2B2B"/>
          <w:sz w:val="17"/>
        </w:rPr>
        <w:t>. npj Digital Medicine (2019). Demonstrates substantial real-world cycle variability.</w:t>
      </w:r>
    </w:p>
    <w:p>
      <w:pPr>
        <w:keepNext w:val="0"/>
        <w:keepLines w:val="0"/>
        <w:spacing w:before="0" w:after="60" w:line="254" w:lineRule="auto"/>
      </w:pPr>
      <w:r>
        <w:rPr>
          <w:rFonts w:ascii="Inter" w:hAnsi="Inter" w:eastAsia="Inter"/>
          <w:b/>
          <w:color w:val="C94334"/>
          <w:sz w:val="17"/>
        </w:rPr>
        <w:t xml:space="preserve">[E20R] </w:t>
      </w:r>
      <w:hyperlink r:id="rId46">
        <w:r>
          <w:rPr>
            <w:rFonts w:ascii="Inter" w:hAnsi="Inter"/>
            <w:color w:val="5D7692"/>
            <w:u w:val="single"/>
          </w:rPr>
          <w:t>McNulty et al., The Effects of Menstrual Cycle Phase on Exercise Performance</w:t>
        </w:r>
      </w:hyperlink>
      <w:r>
        <w:rPr>
          <w:rFonts w:ascii="Inter" w:hAnsi="Inter" w:eastAsia="Inter"/>
          <w:color w:val="2B2B2B"/>
          <w:sz w:val="17"/>
        </w:rPr>
        <w:t>. Sports Medicine (2020). Average effects were trivial and evidence quality/heterogeneity limit universal prescriptions.</w:t>
      </w:r>
    </w:p>
    <w:p>
      <w:pPr>
        <w:keepNext w:val="0"/>
        <w:keepLines w:val="0"/>
        <w:spacing w:before="0" w:after="60" w:line="254" w:lineRule="auto"/>
      </w:pPr>
      <w:r>
        <w:rPr>
          <w:rFonts w:ascii="Inter" w:hAnsi="Inter" w:eastAsia="Inter"/>
          <w:b/>
          <w:color w:val="C94334"/>
          <w:sz w:val="17"/>
        </w:rPr>
        <w:t xml:space="preserve">[E21R] </w:t>
      </w:r>
      <w:hyperlink r:id="rId47">
        <w:r>
          <w:rPr>
            <w:rFonts w:ascii="Inter" w:hAnsi="Inter"/>
            <w:color w:val="5D7692"/>
            <w:u w:val="single"/>
          </w:rPr>
          <w:t>European Commission, MDCG 2019-11 Rev.1</w:t>
        </w:r>
      </w:hyperlink>
      <w:r>
        <w:rPr>
          <w:rFonts w:ascii="Inter" w:hAnsi="Inter" w:eastAsia="Inter"/>
          <w:color w:val="2B2B2B"/>
          <w:sz w:val="17"/>
        </w:rPr>
        <w:t>. Qualification and classification of software under MDR/IVDR; June 2025 revision.</w:t>
      </w:r>
    </w:p>
    <w:p>
      <w:pPr>
        <w:pStyle w:val="Heading2"/>
      </w:pPr>
      <w:r>
        <w:t>Limitations</w:t>
      </w:r>
    </w:p>
    <w:p>
      <w:pPr>
        <w:pStyle w:val="ListBullet"/>
        <w:keepNext w:val="0"/>
        <w:keepLines w:val="0"/>
        <w:spacing w:before="0" w:after="60" w:line="259" w:lineRule="auto"/>
      </w:pPr>
      <w:r>
        <w:rPr>
          <w:rFonts w:ascii="Inter" w:hAnsi="Inter" w:eastAsia="Inter"/>
          <w:color w:val="2B2B2B"/>
          <w:sz w:val="19"/>
        </w:rPr>
        <w:t>This is a strategic desk review, not a technical product audit, clinical evidence review, legal opinion or market-share study.</w:t>
      </w:r>
    </w:p>
    <w:p>
      <w:pPr>
        <w:pStyle w:val="ListBullet"/>
        <w:keepNext w:val="0"/>
        <w:keepLines w:val="0"/>
        <w:spacing w:before="0" w:after="60" w:line="259" w:lineRule="auto"/>
      </w:pPr>
      <w:r>
        <w:rPr>
          <w:rFonts w:ascii="Inter" w:hAnsi="Inter" w:eastAsia="Inter"/>
          <w:color w:val="2B2B2B"/>
          <w:sz w:val="19"/>
        </w:rPr>
        <w:t>Competitor websites can change. Product availability, pricing, geographic coverage and app functionality should be rechecked before external publication.</w:t>
      </w:r>
    </w:p>
    <w:p>
      <w:pPr>
        <w:pStyle w:val="ListBullet"/>
        <w:keepNext w:val="0"/>
        <w:keepLines w:val="0"/>
        <w:spacing w:before="0" w:after="60" w:line="259" w:lineRule="auto"/>
      </w:pPr>
      <w:r>
        <w:rPr>
          <w:rFonts w:ascii="Inter" w:hAnsi="Inter" w:eastAsia="Inter"/>
          <w:color w:val="2B2B2B"/>
          <w:sz w:val="19"/>
        </w:rPr>
        <w:t>Official marketing materials may overstate scientific support; company-reported studies were not independently appraised in depth.</w:t>
      </w:r>
    </w:p>
    <w:p>
      <w:pPr>
        <w:pStyle w:val="ListBullet"/>
        <w:keepNext w:val="0"/>
        <w:keepLines w:val="0"/>
        <w:spacing w:before="0" w:after="60" w:line="259" w:lineRule="auto"/>
      </w:pPr>
      <w:r>
        <w:rPr>
          <w:rFonts w:ascii="Inter" w:hAnsi="Inter" w:eastAsia="Inter"/>
          <w:color w:val="2B2B2B"/>
          <w:sz w:val="19"/>
        </w:rPr>
        <w:t>Capabilities are not equally valuable. The matrix intentionally avoids a total score or winner ranking.</w:t>
      </w:r>
    </w:p>
    <w:p>
      <w:pPr>
        <w:pStyle w:val="ListBullet"/>
        <w:keepNext w:val="0"/>
        <w:keepLines w:val="0"/>
        <w:spacing w:before="0" w:after="60" w:line="259" w:lineRule="auto"/>
      </w:pPr>
      <w:r>
        <w:rPr>
          <w:rFonts w:ascii="Inter" w:hAnsi="Inter" w:eastAsia="Inter"/>
          <w:color w:val="2B2B2B"/>
          <w:sz w:val="19"/>
        </w:rPr>
        <w:t>The reconstructed slide identities rely on logo matching because the attached PDF does not label each competitor by name.</w:t>
      </w:r>
    </w:p>
    <w:p>
      <w:pPr>
        <w:pStyle w:val="ListBullet"/>
        <w:keepNext w:val="0"/>
        <w:keepLines w:val="0"/>
        <w:spacing w:before="0" w:after="60" w:line="259" w:lineRule="auto"/>
      </w:pPr>
      <w:r>
        <w:rPr>
          <w:rFonts w:ascii="Inter" w:hAnsi="Inter" w:eastAsia="Inter"/>
          <w:color w:val="2B2B2B"/>
          <w:sz w:val="19"/>
        </w:rPr>
        <w:t>NutriSync target capabilities are ambitions. External communication should use the current-maturity language in Section 05.</w:t>
      </w:r>
    </w:p>
    <w:tbl>
      <w:tblPr>
        <w:tblW w:type="auto" w:w="0"/>
        <w:jc w:val="center"/>
        <w:tblLayout w:type="fixed"/>
        <w:tblLook w:firstColumn="1" w:firstRow="1" w:lastColumn="0" w:lastRow="0" w:noHBand="0" w:noVBand="1" w:val="04A0"/>
      </w:tblPr>
      <w:tblGrid>
        <w:gridCol w:w="255"/>
        <w:gridCol w:w="9184"/>
      </w:tblGrid>
      <w:tr>
        <w:tc>
          <w:tcPr>
            <w:tcW w:type="dxa" w:w="4961"/>
            <w:shd w:fill="5D7692"/>
            <w:tcMar>
              <w:top w:w="120" w:type="dxa"/>
              <w:start w:w="110" w:type="dxa"/>
              <w:bottom w:w="120" w:type="dxa"/>
              <w:end w:w="110" w:type="dxa"/>
            </w:tcMar>
            <w:tcBorders>
              <w:top w:val="nil"/>
              <w:start w:val="nil"/>
              <w:bottom w:val="nil"/>
              <w:end w:val="nil"/>
            </w:tcBorders>
            <w:vAlign w:val="center"/>
          </w:tcPr>
          <w:p/>
        </w:tc>
        <w:tc>
          <w:tcPr>
            <w:tcW w:type="dxa" w:w="4961"/>
            <w:shd w:fill="E7EDF3"/>
            <w:tcMar>
              <w:top w:w="120" w:type="dxa"/>
              <w:start w:w="110" w:type="dxa"/>
              <w:bottom w:w="120" w:type="dxa"/>
              <w:end w:w="110" w:type="dxa"/>
            </w:tcMar>
            <w:tcBorders>
              <w:top w:val="nil"/>
              <w:start w:val="nil"/>
              <w:bottom w:val="nil"/>
              <w:end w:val="nil"/>
            </w:tcBorders>
            <w:vAlign w:val="center"/>
          </w:tcPr>
          <w:p>
            <w:pPr>
              <w:keepNext w:val="0"/>
              <w:keepLines w:val="0"/>
              <w:spacing w:before="0" w:after="40" w:line="240" w:lineRule="auto"/>
            </w:pPr>
            <w:r>
              <w:rPr>
                <w:rFonts w:ascii="Inter Display" w:hAnsi="Inter Display" w:eastAsia="Inter Display"/>
                <w:b/>
                <w:color w:val="5D7692"/>
                <w:sz w:val="22"/>
              </w:rPr>
              <w:t>Recommended review cadence</w:t>
            </w:r>
          </w:p>
          <w:p>
            <w:pPr>
              <w:keepNext w:val="0"/>
              <w:keepLines w:val="0"/>
              <w:spacing w:before="0" w:after="0" w:line="259" w:lineRule="auto"/>
            </w:pPr>
            <w:r>
              <w:rPr>
                <w:rFonts w:ascii="Inter" w:hAnsi="Inter" w:eastAsia="Inter"/>
                <w:color w:val="2B2B2B"/>
                <w:sz w:val="19"/>
              </w:rPr>
              <w:t>Refresh the competitor matrix quarterly, and immediately after any major product release, funding event, acquisition, regulatory clearance, privacy incident or distribution partnership.</w:t>
            </w:r>
          </w:p>
        </w:tc>
      </w:tr>
    </w:tbl>
    <w:p>
      <w:pPr>
        <w:spacing w:after="20"/>
      </w:pPr>
    </w:p>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11</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AI meal logging and nutrition intelligence</w:t>
            </w:r>
          </w:p>
          <w:p>
            <w:pPr>
              <w:keepNext w:val="0"/>
              <w:spacing w:before="0" w:after="0" w:line="240" w:lineRule="auto"/>
            </w:pPr>
            <w:r>
              <w:rPr>
                <w:rFonts w:ascii="Inter" w:hAnsi="Inter" w:eastAsia="Inter"/>
                <w:b w:val="0"/>
                <w:color w:val="6E6E6E"/>
                <w:sz w:val="17"/>
              </w:rPr>
              <w:t>Competitive update: direct competitors now offer photo-to-macros. NutriSync differentiation must move downstream to structured patterns, governed proposals and measured response.</w:t>
            </w:r>
          </w:p>
        </w:tc>
      </w:tr>
    </w:tbl>
    <w:p>
      <w:pPr>
        <w:spacing w:after="0"/>
      </w:pPr>
    </w:p>
    <w:tbl>
      <w:tblPr>
        <w:tblW w:type="auto" w:w="0"/>
        <w:jc w:val="center"/>
        <w:tblLayout w:type="fixed"/>
        <w:tblLook w:firstColumn="1" w:firstRow="1" w:lastColumn="0" w:lastRow="0" w:noHBand="0" w:noVBand="1" w:val="04A0"/>
      </w:tblPr>
      <w:tblGrid>
        <w:gridCol w:w="259"/>
        <w:gridCol w:w="9662"/>
      </w:tblGrid>
      <w:tr>
        <w:tc>
          <w:tcPr>
            <w:tcW w:type="dxa" w:w="259"/>
            <w:shd w:fill="C94334"/>
            <w:tcBorders>
              <w:top w:val="nil"/>
              <w:start w:val="nil"/>
              <w:bottom w:val="nil"/>
              <w:end w:val="nil"/>
            </w:tcBorders>
            <w:vAlign w:val="center"/>
            <w:tcMar>
              <w:top w:w="100" w:type="dxa"/>
              <w:start w:w="0" w:type="dxa"/>
              <w:bottom w:w="100" w:type="dxa"/>
              <w:end w:w="0" w:type="dxa"/>
            </w:tcMar>
          </w:tcPr>
          <w:p/>
        </w:tc>
        <w:tc>
          <w:tcPr>
            <w:tcW w:type="dxa" w:w="9662"/>
            <w:shd w:fill="FBE3DE"/>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C94334"/>
                <w:sz w:val="21"/>
              </w:rPr>
              <w:t>Important correction to the original report</w:t>
            </w:r>
          </w:p>
          <w:p>
            <w:pPr>
              <w:keepNext w:val="0"/>
              <w:spacing w:before="0" w:after="0" w:line="259" w:lineRule="auto"/>
            </w:pPr>
            <w:r>
              <w:rPr>
                <w:rFonts w:ascii="Inter" w:hAnsi="Inter" w:eastAsia="Inter"/>
                <w:b w:val="0"/>
                <w:color w:val="2B2B2B"/>
                <w:sz w:val="18"/>
              </w:rPr>
              <w:t>28 now publicly advertises meal-photo logging with calories and macros, and Aluna offers a very similar cycle-aware meal, workout and weekly-trend proposition. The feature should still be built because it removes logging friction, but it should not be presented as unique.</w:t>
            </w:r>
          </w:p>
        </w:tc>
      </w:tr>
    </w:tbl>
    <w:p>
      <w:pPr>
        <w:spacing w:after="0"/>
      </w:pPr>
    </w:p>
    <w:tbl>
      <w:tblPr>
        <w:tblW w:type="auto" w:w="0"/>
        <w:jc w:val="center"/>
        <w:tblLayout w:type="fixed"/>
        <w:tblLook w:firstColumn="1" w:firstRow="1" w:lastColumn="0" w:lastRow="0" w:noHBand="0" w:noVBand="1" w:val="04A0"/>
      </w:tblPr>
      <w:tblGrid>
        <w:gridCol w:w="4882"/>
        <w:gridCol w:w="4882"/>
      </w:tblGrid>
      <w:tr>
        <w:tc>
          <w:tcPr>
            <w:tcW w:type="dxa" w:w="4961"/>
            <w:shd w:fill="F6F4F1"/>
            <w:tcMar>
              <w:top w:w="140" w:type="dxa"/>
              <w:start w:w="150" w:type="dxa"/>
              <w:bottom w:w="130" w:type="dxa"/>
              <w:end w:w="150" w:type="dxa"/>
            </w:tcMar>
            <w:tcBorders>
              <w:top w:val="single" w:sz="6" w:color="D9D6D2"/>
              <w:start w:val="single" w:sz="14" w:color="EE5C4A"/>
              <w:bottom w:val="single" w:sz="6" w:color="D9D6D2"/>
              <w:end w:val="single" w:sz="6" w:color="D9D6D2"/>
            </w:tcBorders>
          </w:tcPr>
          <w:p>
            <w:pPr>
              <w:keepNext/>
              <w:spacing w:before="0" w:after="60" w:line="240" w:lineRule="auto"/>
            </w:pPr>
            <w:r>
              <w:rPr>
                <w:rFonts w:ascii="Inter Display" w:hAnsi="Inter Display" w:eastAsia="Inter Display"/>
                <w:b/>
                <w:color w:val="231F20"/>
                <w:sz w:val="28"/>
              </w:rPr>
              <w:t>28</w:t>
            </w:r>
            <w:r>
              <w:rPr>
                <w:rFonts w:ascii="Inter" w:hAnsi="Inter" w:eastAsia="Inter"/>
                <w:b/>
                <w:color w:val="C94334"/>
                <w:sz w:val="16"/>
              </w:rPr>
              <w:t xml:space="preserve">   Direct competitor update</w:t>
            </w:r>
          </w:p>
          <w:p>
            <w:pPr>
              <w:keepNext w:val="0"/>
              <w:spacing w:before="0" w:after="60" w:line="247" w:lineRule="auto"/>
            </w:pPr>
            <w:r>
              <w:rPr>
                <w:rFonts w:ascii="Inter" w:hAnsi="Inter" w:eastAsia="Inter"/>
                <w:b/>
                <w:color w:val="2B2B2B"/>
                <w:sz w:val="16"/>
              </w:rPr>
              <w:t xml:space="preserve">Public evidence: </w:t>
            </w:r>
            <w:r>
              <w:rPr>
                <w:rFonts w:ascii="Inter" w:hAnsi="Inter" w:eastAsia="Inter"/>
                <w:b w:val="0"/>
                <w:color w:val="2B2B2B"/>
                <w:sz w:val="16"/>
              </w:rPr>
              <w:t>The July 2026 App Store release publicly advertises photo calorie tracking: users can snap a meal to log calories and macros. It also advertises recipes on demand and a GAIA assistant that carries cycle, goals and daily context. [U1]</w:t>
            </w:r>
          </w:p>
          <w:p>
            <w:pPr>
              <w:keepNext w:val="0"/>
              <w:spacing w:before="0" w:after="60" w:line="247" w:lineRule="auto"/>
            </w:pPr>
            <w:r>
              <w:rPr>
                <w:rFonts w:ascii="Inter" w:hAnsi="Inter" w:eastAsia="Inter"/>
                <w:b/>
                <w:color w:val="2B2B2B"/>
                <w:sz w:val="16"/>
              </w:rPr>
              <w:t xml:space="preserve">Strategic impact: </w:t>
            </w:r>
            <w:r>
              <w:rPr>
                <w:rFonts w:ascii="Inter" w:hAnsi="Inter" w:eastAsia="Inter"/>
                <w:b w:val="0"/>
                <w:color w:val="2B2B2B"/>
                <w:sz w:val="16"/>
              </w:rPr>
              <w:t>Meal-photo capture and automated macro estimation should now be marked central. Integrated cycle, nutrition and fitness remains a meaningful overlap with NutriSync.</w:t>
            </w:r>
          </w:p>
          <w:p>
            <w:pPr>
              <w:keepNext w:val="0"/>
              <w:spacing w:before="0" w:after="60" w:line="247" w:lineRule="auto"/>
            </w:pPr>
            <w:r>
              <w:rPr>
                <w:rFonts w:ascii="Inter" w:hAnsi="Inter" w:eastAsia="Inter"/>
                <w:b/>
                <w:color w:val="2B2B2B"/>
                <w:sz w:val="16"/>
              </w:rPr>
              <w:t xml:space="preserve">Remaining gap: </w:t>
            </w:r>
            <w:r>
              <w:rPr>
                <w:rFonts w:ascii="Inter" w:hAnsi="Inter" w:eastAsia="Inter"/>
                <w:b w:val="0"/>
                <w:color w:val="2B2B2B"/>
                <w:sz w:val="16"/>
              </w:rPr>
              <w:t>Public materials do not clearly evidence ingredient-level transparency, image-retention design, verified expert/community proposals, or a measured recommendation-action-response learning loop.</w:t>
            </w:r>
          </w:p>
        </w:tc>
        <w:tc>
          <w:tcPr>
            <w:tcW w:type="dxa" w:w="4961"/>
            <w:shd w:fill="F6F4F1"/>
            <w:tcMar>
              <w:top w:w="140" w:type="dxa"/>
              <w:start w:w="150" w:type="dxa"/>
              <w:bottom w:w="130" w:type="dxa"/>
              <w:end w:w="150" w:type="dxa"/>
            </w:tcMar>
            <w:tcBorders>
              <w:top w:val="single" w:sz="6" w:color="D9D6D2"/>
              <w:start w:val="single" w:sz="14" w:color="EE5C4A"/>
              <w:bottom w:val="single" w:sz="6" w:color="D9D6D2"/>
              <w:end w:val="single" w:sz="6" w:color="D9D6D2"/>
            </w:tcBorders>
          </w:tcPr>
          <w:p>
            <w:pPr>
              <w:keepNext/>
              <w:spacing w:before="0" w:after="60" w:line="240" w:lineRule="auto"/>
            </w:pPr>
            <w:r>
              <w:rPr>
                <w:rFonts w:ascii="Inter Display" w:hAnsi="Inter Display" w:eastAsia="Inter Display"/>
                <w:b/>
                <w:color w:val="231F20"/>
                <w:sz w:val="28"/>
              </w:rPr>
              <w:t>Aluna</w:t>
            </w:r>
            <w:r>
              <w:rPr>
                <w:rFonts w:ascii="Inter" w:hAnsi="Inter" w:eastAsia="Inter"/>
                <w:b/>
                <w:color w:val="C94334"/>
                <w:sz w:val="16"/>
              </w:rPr>
              <w:t xml:space="preserve">   Emerging direct comparator</w:t>
            </w:r>
          </w:p>
          <w:p>
            <w:pPr>
              <w:keepNext w:val="0"/>
              <w:spacing w:before="0" w:after="60" w:line="247" w:lineRule="auto"/>
            </w:pPr>
            <w:r>
              <w:rPr>
                <w:rFonts w:ascii="Inter" w:hAnsi="Inter" w:eastAsia="Inter"/>
                <w:b/>
                <w:color w:val="2B2B2B"/>
                <w:sz w:val="16"/>
              </w:rPr>
              <w:t xml:space="preserve">Public evidence: </w:t>
            </w:r>
            <w:r>
              <w:rPr>
                <w:rFonts w:ascii="Inter" w:hAnsi="Inter" w:eastAsia="Inter"/>
                <w:b w:val="0"/>
                <w:color w:val="2B2B2B"/>
                <w:sz w:val="16"/>
              </w:rPr>
              <w:t>Aluna publicly advertises AI meal scanning from a photo, estimates calories, protein, carbohydrates and fat, offers phase-aware meal planning, barcode scanning, workout logging and weekly trends. It says data remains on-device. [U2]</w:t>
            </w:r>
          </w:p>
          <w:p>
            <w:pPr>
              <w:keepNext w:val="0"/>
              <w:spacing w:before="0" w:after="60" w:line="247" w:lineRule="auto"/>
            </w:pPr>
            <w:r>
              <w:rPr>
                <w:rFonts w:ascii="Inter" w:hAnsi="Inter" w:eastAsia="Inter"/>
                <w:b/>
                <w:color w:val="2B2B2B"/>
                <w:sz w:val="16"/>
              </w:rPr>
              <w:t xml:space="preserve">Strategic impact: </w:t>
            </w:r>
            <w:r>
              <w:rPr>
                <w:rFonts w:ascii="Inter" w:hAnsi="Inter" w:eastAsia="Inter"/>
                <w:b w:val="0"/>
                <w:color w:val="2B2B2B"/>
                <w:sz w:val="16"/>
              </w:rPr>
              <w:t>Aluna should be added to the quarterly watchlist and treated as a direct comparator for integrated cycle, nutrition and movement tracking.</w:t>
            </w:r>
          </w:p>
          <w:p>
            <w:pPr>
              <w:keepNext w:val="0"/>
              <w:spacing w:before="0" w:after="60" w:line="247" w:lineRule="auto"/>
            </w:pPr>
            <w:r>
              <w:rPr>
                <w:rFonts w:ascii="Inter" w:hAnsi="Inter" w:eastAsia="Inter"/>
                <w:b/>
                <w:color w:val="2B2B2B"/>
                <w:sz w:val="16"/>
              </w:rPr>
              <w:t xml:space="preserve">Remaining gap: </w:t>
            </w:r>
            <w:r>
              <w:rPr>
                <w:rFonts w:ascii="Inter" w:hAnsi="Inter" w:eastAsia="Inter"/>
                <w:b w:val="0"/>
                <w:color w:val="2B2B2B"/>
                <w:sz w:val="16"/>
              </w:rPr>
              <w:t>Public materials do not evidence a cloud-based expert/community knowledge network or a closed-loop system that learns which intervention works better for the same person across cycles.</w:t>
            </w:r>
          </w:p>
        </w:tc>
      </w:tr>
    </w:tbl>
    <w:p>
      <w:pPr>
        <w:spacing w:after="0"/>
      </w:pPr>
    </w:p>
    <w:p>
      <w:pPr>
        <w:keepNext/>
        <w:spacing w:before="40" w:after="80" w:line="240" w:lineRule="auto"/>
      </w:pPr>
      <w:r>
        <w:rPr>
          <w:rFonts w:ascii="Inter Display" w:hAnsi="Inter Display" w:eastAsia="Inter Display"/>
          <w:b/>
          <w:color w:val="C94334"/>
          <w:sz w:val="23"/>
        </w:rPr>
        <w:t>What changes in the competitive thesis</w:t>
      </w:r>
    </w:p>
    <w:p>
      <w:pPr>
        <w:pStyle w:val="ListBullet"/>
        <w:keepNext w:val="0"/>
        <w:spacing w:before="0" w:after="40" w:line="247" w:lineRule="auto"/>
        <w:ind w:left="259" w:hanging="173"/>
      </w:pPr>
      <w:r>
        <w:rPr>
          <w:rFonts w:ascii="Inter" w:hAnsi="Inter" w:eastAsia="Inter"/>
          <w:b w:val="0"/>
          <w:color w:val="2B2B2B"/>
          <w:sz w:val="17"/>
        </w:rPr>
        <w:t>Photo recognition, automatic meal logging and macro estimation are becoming commodity capabilities in both direct and adjacent nutrition apps. [U1-U5]</w:t>
      </w:r>
    </w:p>
    <w:p>
      <w:pPr>
        <w:pStyle w:val="ListBullet"/>
        <w:keepNext w:val="0"/>
        <w:spacing w:before="0" w:after="40" w:line="247" w:lineRule="auto"/>
        <w:ind w:left="259" w:hanging="173"/>
      </w:pPr>
      <w:r>
        <w:rPr>
          <w:rFonts w:ascii="Inter" w:hAnsi="Inter" w:eastAsia="Inter"/>
          <w:b w:val="0"/>
          <w:color w:val="2B2B2B"/>
          <w:sz w:val="17"/>
        </w:rPr>
        <w:t>The stronger NutriSync opportunity is to convert each confirmed meal into structured food-group and nutrient data, then link it to cycle phase, symptoms, energy, sleep and exercise.</w:t>
      </w:r>
    </w:p>
    <w:p>
      <w:pPr>
        <w:pStyle w:val="ListBullet"/>
        <w:keepNext w:val="0"/>
        <w:spacing w:before="0" w:after="40" w:line="247" w:lineRule="auto"/>
        <w:ind w:left="259" w:hanging="173"/>
      </w:pPr>
      <w:r>
        <w:rPr>
          <w:rFonts w:ascii="Inter" w:hAnsi="Inter" w:eastAsia="Inter"/>
          <w:b w:val="0"/>
          <w:color w:val="2B2B2B"/>
          <w:sz w:val="17"/>
        </w:rPr>
        <w:t>Expert and community proposals only become strategically valuable when NutriSync records which proposal was shown, whether it was followed, what happened next and whether the next recommendation improved.</w:t>
      </w:r>
    </w:p>
    <w:p>
      <w:pPr>
        <w:pStyle w:val="ListBullet"/>
        <w:keepNext w:val="0"/>
        <w:spacing w:before="0" w:after="80" w:line="247" w:lineRule="auto"/>
        <w:ind w:left="259" w:hanging="173"/>
      </w:pPr>
      <w:r>
        <w:rPr>
          <w:rFonts w:ascii="Inter" w:hAnsi="Inter" w:eastAsia="Inter"/>
          <w:b w:val="0"/>
          <w:color w:val="2B2B2B"/>
          <w:sz w:val="17"/>
        </w:rPr>
        <w:t>Use observational language. Repeated associations within one person are useful; a meal photograph or a short pilot does not establish clinical causality.</w:t>
      </w:r>
    </w:p>
    <w:tbl>
      <w:tblPr>
        <w:tblW w:type="auto" w:w="0"/>
        <w:jc w:val="center"/>
        <w:tblLayout w:type="fixed"/>
        <w:tblLook w:firstColumn="1" w:firstRow="1" w:lastColumn="0" w:lastRow="0" w:noHBand="0" w:noVBand="1" w:val="04A0"/>
      </w:tblPr>
      <w:tblGrid>
        <w:gridCol w:w="259"/>
        <w:gridCol w:w="9662"/>
      </w:tblGrid>
      <w:tr>
        <w:tc>
          <w:tcPr>
            <w:tcW w:type="dxa" w:w="259"/>
            <w:shd w:fill="6B8E7D"/>
            <w:tcBorders>
              <w:top w:val="nil"/>
              <w:start w:val="nil"/>
              <w:bottom w:val="nil"/>
              <w:end w:val="nil"/>
            </w:tcBorders>
            <w:vAlign w:val="center"/>
            <w:tcMar>
              <w:top w:w="100" w:type="dxa"/>
              <w:start w:w="0" w:type="dxa"/>
              <w:bottom w:w="100" w:type="dxa"/>
              <w:end w:w="0" w:type="dxa"/>
            </w:tcMar>
          </w:tcPr>
          <w:p/>
        </w:tc>
        <w:tc>
          <w:tcPr>
            <w:tcW w:type="dxa" w:w="9662"/>
            <w:shd w:fill="E5EFEA"/>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6B8E7D"/>
                <w:sz w:val="21"/>
              </w:rPr>
              <w:t>Revised product claim</w:t>
            </w:r>
          </w:p>
          <w:p>
            <w:pPr>
              <w:keepNext w:val="0"/>
              <w:spacing w:before="0" w:after="0" w:line="259" w:lineRule="auto"/>
            </w:pPr>
            <w:r>
              <w:rPr>
                <w:rFonts w:ascii="Inter" w:hAnsi="Inter" w:eastAsia="Inter"/>
                <w:b w:val="0"/>
                <w:color w:val="2B2B2B"/>
                <w:sz w:val="18"/>
              </w:rPr>
              <w:t>Competitors can increasingly recognise what is on the plate. NutriSync is designed to learn which nutrition and movement patterns appear to work better for each individual across cycles - and use governed expert and community knowledge to recommend the next practical action.</w:t>
            </w:r>
          </w:p>
        </w:tc>
      </w:tr>
    </w:tbl>
    <w:p>
      <w:pPr>
        <w:spacing w:after="0"/>
      </w:pPr>
    </w:p>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11A</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Updated capability matrix - capture and structure</w:t>
            </w:r>
          </w:p>
          <w:p>
            <w:pPr>
              <w:keepNext w:val="0"/>
              <w:spacing w:before="0" w:after="0" w:line="240" w:lineRule="auto"/>
            </w:pPr>
            <w:r>
              <w:rPr>
                <w:rFonts w:ascii="Inter" w:hAnsi="Inter" w:eastAsia="Inter"/>
                <w:b w:val="0"/>
                <w:color w:val="6E6E6E"/>
                <w:sz w:val="17"/>
              </w:rPr>
              <w:t>This matrix isolates the new capability family. It supplements, rather than replaces, the broader scientific, privacy, distribution and biometrics matrix in Section 04.</w:t>
            </w:r>
          </w:p>
        </w:tc>
      </w:tr>
    </w:tbl>
    <w:p>
      <w:pPr>
        <w:spacing w:after="0"/>
      </w:pPr>
    </w:p>
    <w:p>
      <w:pPr>
        <w:keepNext/>
        <w:spacing w:before="40" w:after="80" w:line="240" w:lineRule="auto"/>
      </w:pPr>
      <w:r>
        <w:rPr>
          <w:rFonts w:ascii="Inter Display" w:hAnsi="Inter Display" w:eastAsia="Inter Display"/>
          <w:b/>
          <w:color w:val="C94334"/>
          <w:sz w:val="23"/>
        </w:rPr>
        <w:t>Capture and structure capabilities</w:t>
      </w:r>
    </w:p>
    <w:p>
      <w:pPr>
        <w:keepNext w:val="0"/>
        <w:spacing w:before="0" w:after="80" w:line="259" w:lineRule="auto"/>
      </w:pPr>
      <w:r>
        <w:rPr>
          <w:rFonts w:ascii="Inter" w:hAnsi="Inter" w:eastAsia="Inter"/>
          <w:b w:val="0"/>
          <w:color w:val="6E6E6E"/>
          <w:sz w:val="17"/>
        </w:rPr>
        <w:t>Food groups and nutrients are deliberately separated. Pasta, legumes, vegetables, fruit and dairy are categories; protein, carbohydrates, fat and fibre are nutrients.</w:t>
      </w:r>
    </w:p>
    <w:tbl>
      <w:tblPr>
        <w:tblW w:type="auto" w:w="0"/>
        <w:jc w:val="center"/>
        <w:tblLayout w:type="fixed"/>
        <w:tblLook w:firstColumn="1" w:firstRow="1" w:lastColumn="0" w:lastRow="0" w:noHBand="0" w:noVBand="1" w:val="04A0"/>
      </w:tblPr>
      <w:tblGrid>
        <w:gridCol w:w="2275"/>
        <w:gridCol w:w="1529"/>
        <w:gridCol w:w="1529"/>
        <w:gridCol w:w="1529"/>
        <w:gridCol w:w="1529"/>
        <w:gridCol w:w="1529"/>
      </w:tblGrid>
      <w:tr>
        <w:trPr>
          <w:cantSplit/>
        </w:trPr>
        <w:tc>
          <w:tcPr>
            <w:tcW w:type="dxa" w:w="2275"/>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FFFFFF"/>
                <w:sz w:val="14"/>
              </w:rPr>
              <w:t>Competitor</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Photo meal log</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Food / ingredient extraction</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Auto calories + macros</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Food-group patterning</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Exercise capture</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Flo</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Clue</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Ovia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Natural Cycles</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MyFLO / FLO Living</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28</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Aluna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Lively</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Moody</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Eative</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Wild.AI</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FitrWoman</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Hormona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NutriSync - current</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R</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R</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R</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r>
      <w:tr>
        <w:trPr>
          <w:cantSplit/>
        </w:trPr>
        <w:tc>
          <w:tcPr>
            <w:tcW w:type="dxa" w:w="2275"/>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NutriSync - target</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r>
    </w:tbl>
    <w:p>
      <w:pPr>
        <w:spacing w:after="0"/>
      </w:pPr>
    </w:p>
    <w:tbl>
      <w:tblPr>
        <w:tblW w:type="auto" w:w="0"/>
        <w:jc w:val="center"/>
        <w:tblLayout w:type="fixed"/>
        <w:tblLook w:firstColumn="1" w:firstRow="1" w:lastColumn="0" w:lastRow="0" w:noHBand="0" w:noVBand="1" w:val="04A0"/>
      </w:tblPr>
      <w:tblGrid>
        <w:gridCol w:w="1984"/>
        <w:gridCol w:w="1984"/>
        <w:gridCol w:w="1984"/>
        <w:gridCol w:w="1984"/>
        <w:gridCol w:w="1984"/>
      </w:tblGrid>
      <w:tr>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C94334"/>
                <w:sz w:val="14"/>
              </w:rPr>
              <w:t xml:space="preserve">C  </w:t>
            </w:r>
            <w:r>
              <w:rPr>
                <w:rFonts w:ascii="Inter" w:hAnsi="Inter" w:eastAsia="Inter"/>
                <w:b w:val="0"/>
                <w:color w:val="6E6E6E"/>
                <w:sz w:val="13"/>
              </w:rPr>
              <w:t>Central / operational</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P  </w:t>
            </w:r>
            <w:r>
              <w:rPr>
                <w:rFonts w:ascii="Inter" w:hAnsi="Inter" w:eastAsia="Inter"/>
                <w:b w:val="0"/>
                <w:color w:val="6E6E6E"/>
                <w:sz w:val="13"/>
              </w:rPr>
              <w:t>Present / partial</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A  </w:t>
            </w:r>
            <w:r>
              <w:rPr>
                <w:rFonts w:ascii="Inter" w:hAnsi="Inter" w:eastAsia="Inter"/>
                <w:b w:val="0"/>
                <w:color w:val="6E6E6E"/>
                <w:sz w:val="13"/>
              </w:rPr>
              <w:t>Adjacent / indirect</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  </w:t>
            </w:r>
            <w:r>
              <w:rPr>
                <w:rFonts w:ascii="Inter" w:hAnsi="Inter" w:eastAsia="Inter"/>
                <w:b w:val="0"/>
                <w:color w:val="6E6E6E"/>
                <w:sz w:val="13"/>
              </w:rPr>
              <w:t>Not publicly evidenced</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C94334"/>
                <w:sz w:val="14"/>
              </w:rPr>
              <w:t xml:space="preserve">R  </w:t>
            </w:r>
            <w:r>
              <w:rPr>
                <w:rFonts w:ascii="Inter" w:hAnsi="Inter" w:eastAsia="Inter"/>
                <w:b w:val="0"/>
                <w:color w:val="6E6E6E"/>
                <w:sz w:val="13"/>
              </w:rPr>
              <w:t>NutriSync roadmap</w:t>
            </w:r>
          </w:p>
        </w:tc>
      </w:tr>
    </w:tbl>
    <w:p>
      <w:pPr>
        <w:keepNext w:val="0"/>
        <w:spacing w:before="20" w:after="0" w:line="240" w:lineRule="auto"/>
      </w:pPr>
      <w:r>
        <w:rPr>
          <w:rFonts w:ascii="Inter" w:hAnsi="Inter" w:eastAsia="Inter"/>
          <w:b w:val="0"/>
          <w:i/>
          <w:color w:val="6E6E6E"/>
          <w:sz w:val="14"/>
        </w:rPr>
        <w:t>Source note: Official public product materials reviewed 9 August 2026 and the original report evidence set. A dash means not publicly evidenced, not proven absent. [E1-E25; U1-U5]</w:t>
      </w:r>
    </w:p>
    <w:tbl>
      <w:tblPr>
        <w:tblW w:type="auto" w:w="0"/>
        <w:jc w:val="center"/>
        <w:tblLayout w:type="fixed"/>
        <w:tblLook w:firstColumn="1" w:firstRow="1" w:lastColumn="0" w:lastRow="0" w:noHBand="0" w:noVBand="1" w:val="04A0"/>
      </w:tblPr>
      <w:tblGrid>
        <w:gridCol w:w="259"/>
        <w:gridCol w:w="9662"/>
      </w:tblGrid>
      <w:tr>
        <w:tc>
          <w:tcPr>
            <w:tcW w:type="dxa" w:w="259"/>
            <w:shd w:fill="C94334"/>
            <w:tcBorders>
              <w:top w:val="nil"/>
              <w:start w:val="nil"/>
              <w:bottom w:val="nil"/>
              <w:end w:val="nil"/>
            </w:tcBorders>
            <w:vAlign w:val="center"/>
            <w:tcMar>
              <w:top w:w="100" w:type="dxa"/>
              <w:start w:w="0" w:type="dxa"/>
              <w:bottom w:w="100" w:type="dxa"/>
              <w:end w:w="0" w:type="dxa"/>
            </w:tcMar>
          </w:tcPr>
          <w:p/>
        </w:tc>
        <w:tc>
          <w:tcPr>
            <w:tcW w:type="dxa" w:w="9662"/>
            <w:shd w:fill="FBE3DE"/>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C94334"/>
                <w:sz w:val="21"/>
              </w:rPr>
              <w:t>Interpretation</w:t>
            </w:r>
          </w:p>
          <w:p>
            <w:pPr>
              <w:keepNext w:val="0"/>
              <w:spacing w:before="0" w:after="0" w:line="259" w:lineRule="auto"/>
            </w:pPr>
            <w:r>
              <w:rPr>
                <w:rFonts w:ascii="Inter" w:hAnsi="Inter" w:eastAsia="Inter"/>
                <w:b w:val="0"/>
                <w:color w:val="2B2B2B"/>
                <w:sz w:val="17"/>
              </w:rPr>
              <w:t>28 and Aluna already cover the high-friction front end. NutriSync should implement the same convenience, but the product design must preserve confidence, user correction, food provenance and a structured ontology that can support longitudinal analysis.</w:t>
            </w:r>
          </w:p>
        </w:tc>
      </w:tr>
    </w:tbl>
    <w:p>
      <w:pPr>
        <w:spacing w:after="0"/>
      </w:pPr>
    </w:p>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11B</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Updated capability matrix - context and learning</w:t>
            </w:r>
          </w:p>
          <w:p>
            <w:pPr>
              <w:keepNext w:val="0"/>
              <w:spacing w:before="0" w:after="0" w:line="240" w:lineRule="auto"/>
            </w:pPr>
            <w:r>
              <w:rPr>
                <w:rFonts w:ascii="Inter" w:hAnsi="Inter" w:eastAsia="Inter"/>
                <w:b w:val="0"/>
                <w:color w:val="6E6E6E"/>
                <w:sz w:val="17"/>
              </w:rPr>
              <w:t>The remaining whitespace is not a single feature. It is the governed system that combines personal context, approved knowledge, action tracking and response-based recalibration.</w:t>
            </w:r>
          </w:p>
        </w:tc>
      </w:tr>
    </w:tbl>
    <w:p>
      <w:pPr>
        <w:spacing w:after="0"/>
      </w:pPr>
    </w:p>
    <w:p>
      <w:pPr>
        <w:keepNext/>
        <w:spacing w:before="40" w:after="80" w:line="240" w:lineRule="auto"/>
      </w:pPr>
      <w:r>
        <w:rPr>
          <w:rFonts w:ascii="Inter Display" w:hAnsi="Inter Display" w:eastAsia="Inter Display"/>
          <w:b/>
          <w:color w:val="C94334"/>
          <w:sz w:val="23"/>
        </w:rPr>
        <w:t>Context and learning capabilities</w:t>
      </w:r>
    </w:p>
    <w:p>
      <w:pPr>
        <w:keepNext w:val="0"/>
        <w:spacing w:before="0" w:after="80" w:line="259" w:lineRule="auto"/>
      </w:pPr>
      <w:r>
        <w:rPr>
          <w:rFonts w:ascii="Inter" w:hAnsi="Inter" w:eastAsia="Inter"/>
          <w:b w:val="0"/>
          <w:color w:val="6E6E6E"/>
          <w:sz w:val="17"/>
        </w:rPr>
        <w:t>The target position is credible only when recommendations are selected from governed content, user actions are separately observed, and subsequent response changes the next recommendation.</w:t>
      </w:r>
    </w:p>
    <w:tbl>
      <w:tblPr>
        <w:tblW w:type="auto" w:w="0"/>
        <w:jc w:val="center"/>
        <w:tblLayout w:type="fixed"/>
        <w:tblLook w:firstColumn="1" w:firstRow="1" w:lastColumn="0" w:lastRow="0" w:noHBand="0" w:noVBand="1" w:val="04A0"/>
      </w:tblPr>
      <w:tblGrid>
        <w:gridCol w:w="2275"/>
        <w:gridCol w:w="1529"/>
        <w:gridCol w:w="1529"/>
        <w:gridCol w:w="1529"/>
        <w:gridCol w:w="1529"/>
        <w:gridCol w:w="1529"/>
      </w:tblGrid>
      <w:tr>
        <w:trPr>
          <w:cantSplit/>
        </w:trPr>
        <w:tc>
          <w:tcPr>
            <w:tcW w:type="dxa" w:w="2275"/>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FFFFFF"/>
                <w:sz w:val="14"/>
              </w:rPr>
              <w:t>Competitor</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Cycle-aware context</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Expert-governed proposals</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Community proposals</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Within-person pattern analysis</w:t>
            </w:r>
          </w:p>
        </w:tc>
        <w:tc>
          <w:tcPr>
            <w:tcW w:type="dxa" w:w="1529"/>
            <w:shd w:fill="C94334"/>
            <w:tcMar>
              <w:top w:w="70" w:type="dxa"/>
              <w:start w:w="45" w:type="dxa"/>
              <w:bottom w:w="70" w:type="dxa"/>
              <w:end w:w="4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Closed-loop recalibration</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Flo</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Clue</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Ovia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Natural Cycles</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MyFLO / FLO Living</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28</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Aluna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Lively</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Moody</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Eative</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Wild.AI</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r>
      <w:tr>
        <w:trPr>
          <w:cantSplit/>
        </w:trPr>
        <w:tc>
          <w:tcPr>
            <w:tcW w:type="dxa" w:w="2275"/>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FitrWoman</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6F4F1"/>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A</w:t>
            </w:r>
          </w:p>
        </w:tc>
      </w:tr>
      <w:tr>
        <w:trPr>
          <w:cantSplit/>
        </w:trPr>
        <w:tc>
          <w:tcPr>
            <w:tcW w:type="dxa" w:w="2275"/>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Hormona</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C</w:t>
            </w:r>
          </w:p>
        </w:tc>
        <w:tc>
          <w:tcPr>
            <w:tcW w:type="dxa" w:w="1529"/>
            <w:shd w:fill="FFFFFF"/>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val="0"/>
                <w:color w:val="2B2B2B"/>
                <w:sz w:val="14"/>
              </w:rPr>
              <w:t>P</w:t>
            </w:r>
          </w:p>
        </w:tc>
      </w:tr>
      <w:tr>
        <w:trPr>
          <w:cantSplit/>
        </w:trPr>
        <w:tc>
          <w:tcPr>
            <w:tcW w:type="dxa" w:w="2275"/>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NutriSync - current</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c>
          <w:tcPr>
            <w:tcW w:type="dxa" w:w="1529"/>
            <w:shd w:fill="FBE3DE"/>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P</w:t>
            </w:r>
          </w:p>
        </w:tc>
      </w:tr>
      <w:tr>
        <w:trPr>
          <w:cantSplit/>
        </w:trPr>
        <w:tc>
          <w:tcPr>
            <w:tcW w:type="dxa" w:w="2275"/>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NutriSync - target</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c>
          <w:tcPr>
            <w:tcW w:type="dxa" w:w="1529"/>
            <w:shd w:fill="E5EFEA"/>
            <w:tcMar>
              <w:top w:w="55" w:type="dxa"/>
              <w:start w:w="40" w:type="dxa"/>
              <w:bottom w:w="55" w:type="dxa"/>
              <w:end w:w="40"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B2B2B"/>
                <w:sz w:val="14"/>
              </w:rPr>
              <w:t>C</w:t>
            </w:r>
          </w:p>
        </w:tc>
      </w:tr>
    </w:tbl>
    <w:p>
      <w:pPr>
        <w:spacing w:after="0"/>
      </w:pPr>
    </w:p>
    <w:tbl>
      <w:tblPr>
        <w:tblW w:type="auto" w:w="0"/>
        <w:jc w:val="center"/>
        <w:tblLayout w:type="fixed"/>
        <w:tblLook w:firstColumn="1" w:firstRow="1" w:lastColumn="0" w:lastRow="0" w:noHBand="0" w:noVBand="1" w:val="04A0"/>
      </w:tblPr>
      <w:tblGrid>
        <w:gridCol w:w="1984"/>
        <w:gridCol w:w="1984"/>
        <w:gridCol w:w="1984"/>
        <w:gridCol w:w="1984"/>
        <w:gridCol w:w="1984"/>
      </w:tblGrid>
      <w:tr>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C94334"/>
                <w:sz w:val="14"/>
              </w:rPr>
              <w:t xml:space="preserve">C  </w:t>
            </w:r>
            <w:r>
              <w:rPr>
                <w:rFonts w:ascii="Inter" w:hAnsi="Inter" w:eastAsia="Inter"/>
                <w:b w:val="0"/>
                <w:color w:val="6E6E6E"/>
                <w:sz w:val="13"/>
              </w:rPr>
              <w:t>Central / operational</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P  </w:t>
            </w:r>
            <w:r>
              <w:rPr>
                <w:rFonts w:ascii="Inter" w:hAnsi="Inter" w:eastAsia="Inter"/>
                <w:b w:val="0"/>
                <w:color w:val="6E6E6E"/>
                <w:sz w:val="13"/>
              </w:rPr>
              <w:t>Present / partial</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A  </w:t>
            </w:r>
            <w:r>
              <w:rPr>
                <w:rFonts w:ascii="Inter" w:hAnsi="Inter" w:eastAsia="Inter"/>
                <w:b w:val="0"/>
                <w:color w:val="6E6E6E"/>
                <w:sz w:val="13"/>
              </w:rPr>
              <w:t>Adjacent / indirect</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231F20"/>
                <w:sz w:val="14"/>
              </w:rPr>
              <w:t xml:space="preserve">-  </w:t>
            </w:r>
            <w:r>
              <w:rPr>
                <w:rFonts w:ascii="Inter" w:hAnsi="Inter" w:eastAsia="Inter"/>
                <w:b w:val="0"/>
                <w:color w:val="6E6E6E"/>
                <w:sz w:val="13"/>
              </w:rPr>
              <w:t>Not publicly evidenced</w:t>
            </w:r>
          </w:p>
        </w:tc>
        <w:tc>
          <w:tcPr>
            <w:tcW w:type="dxa" w:w="1984"/>
            <w:shd w:fill="F6F4F1"/>
            <w:tcMar>
              <w:top w:w="50" w:type="dxa"/>
              <w:start w:w="55" w:type="dxa"/>
              <w:bottom w:w="50" w:type="dxa"/>
              <w:end w:w="55" w:type="dxa"/>
            </w:tcMar>
            <w:tcBorders>
              <w:top w:val="nil"/>
              <w:start w:val="nil"/>
              <w:bottom w:val="nil"/>
              <w:end w:val="nil"/>
            </w:tcBorders>
          </w:tcPr>
          <w:p>
            <w:pPr>
              <w:keepNext w:val="0"/>
              <w:spacing w:before="0" w:after="0" w:line="240" w:lineRule="auto"/>
              <w:jc w:val="center"/>
            </w:pPr>
            <w:r>
              <w:rPr>
                <w:rFonts w:ascii="Inter" w:hAnsi="Inter" w:eastAsia="Inter"/>
                <w:b/>
                <w:color w:val="C94334"/>
                <w:sz w:val="14"/>
              </w:rPr>
              <w:t xml:space="preserve">R  </w:t>
            </w:r>
            <w:r>
              <w:rPr>
                <w:rFonts w:ascii="Inter" w:hAnsi="Inter" w:eastAsia="Inter"/>
                <w:b w:val="0"/>
                <w:color w:val="6E6E6E"/>
                <w:sz w:val="13"/>
              </w:rPr>
              <w:t>NutriSync roadmap</w:t>
            </w:r>
          </w:p>
        </w:tc>
      </w:tr>
    </w:tbl>
    <w:p>
      <w:pPr>
        <w:keepNext w:val="0"/>
        <w:spacing w:before="20" w:after="0" w:line="240" w:lineRule="auto"/>
      </w:pPr>
      <w:r>
        <w:rPr>
          <w:rFonts w:ascii="Inter" w:hAnsi="Inter" w:eastAsia="Inter"/>
          <w:b w:val="0"/>
          <w:i/>
          <w:color w:val="6E6E6E"/>
          <w:sz w:val="14"/>
        </w:rPr>
        <w:t>Source note: Strategic evidence map, not a clinical-effectiveness ranking. “Expert-governed” requires visible credentials, review ownership and safety controls; curated content alone is only adjacent evidence.</w:t>
      </w:r>
    </w:p>
    <w:p>
      <w:pPr>
        <w:keepNext/>
        <w:spacing w:before="40" w:after="80" w:line="240" w:lineRule="auto"/>
      </w:pPr>
      <w:r>
        <w:rPr>
          <w:rFonts w:ascii="Inter Display" w:hAnsi="Inter Display" w:eastAsia="Inter Display"/>
          <w:b/>
          <w:color w:val="C94334"/>
          <w:sz w:val="22"/>
        </w:rPr>
        <w:t>What remains differentiated</w:t>
      </w:r>
    </w:p>
    <w:p>
      <w:pPr>
        <w:pStyle w:val="ListBullet"/>
        <w:keepNext w:val="0"/>
        <w:spacing w:before="0" w:after="40" w:line="247" w:lineRule="auto"/>
        <w:ind w:left="259" w:hanging="173"/>
      </w:pPr>
      <w:r>
        <w:rPr>
          <w:rFonts w:ascii="Inter" w:hAnsi="Inter" w:eastAsia="Inter"/>
          <w:b w:val="0"/>
          <w:color w:val="2B2B2B"/>
          <w:sz w:val="17"/>
        </w:rPr>
        <w:t>A visual diary plus confirmed structured data, not only an AI caption or calorie number.</w:t>
      </w:r>
    </w:p>
    <w:p>
      <w:pPr>
        <w:pStyle w:val="ListBullet"/>
        <w:keepNext w:val="0"/>
        <w:spacing w:before="0" w:after="40" w:line="247" w:lineRule="auto"/>
        <w:ind w:left="259" w:hanging="173"/>
      </w:pPr>
      <w:r>
        <w:rPr>
          <w:rFonts w:ascii="Inter" w:hAnsi="Inter" w:eastAsia="Inter"/>
          <w:b w:val="0"/>
          <w:color w:val="2B2B2B"/>
          <w:sz w:val="17"/>
        </w:rPr>
        <w:t>Within-person pattern analysis across multiple cycles, with uncertainty and “not enough data” states.</w:t>
      </w:r>
    </w:p>
    <w:p>
      <w:pPr>
        <w:pStyle w:val="ListBullet"/>
        <w:keepNext w:val="0"/>
        <w:spacing w:before="0" w:after="40" w:line="247" w:lineRule="auto"/>
        <w:ind w:left="259" w:hanging="173"/>
      </w:pPr>
      <w:r>
        <w:rPr>
          <w:rFonts w:ascii="Inter" w:hAnsi="Inter" w:eastAsia="Inter"/>
          <w:b w:val="0"/>
          <w:color w:val="2B2B2B"/>
          <w:sz w:val="17"/>
        </w:rPr>
        <w:t>A governed expert library and moderated community alternatives selected against allergies, preferences, cost, culture and available ingredients.</w:t>
      </w:r>
    </w:p>
    <w:p>
      <w:pPr>
        <w:pStyle w:val="ListBullet"/>
        <w:keepNext w:val="0"/>
        <w:spacing w:before="0" w:after="80" w:line="247" w:lineRule="auto"/>
        <w:ind w:left="259" w:hanging="173"/>
      </w:pPr>
      <w:r>
        <w:rPr>
          <w:rFonts w:ascii="Inter" w:hAnsi="Inter" w:eastAsia="Inter"/>
          <w:b w:val="0"/>
          <w:color w:val="2B2B2B"/>
          <w:sz w:val="17"/>
        </w:rPr>
        <w:t>A measurable loop: recommended -&gt; viewed -&gt; accepted -&gt; eaten/completed -&gt; response -&gt; next recommendation.</w:t>
      </w:r>
    </w:p>
    <w:tbl>
      <w:tblPr>
        <w:tblW w:type="auto" w:w="0"/>
        <w:jc w:val="center"/>
        <w:tblLayout w:type="fixed"/>
        <w:tblLook w:firstColumn="1" w:firstRow="1" w:lastColumn="0" w:lastRow="0" w:noHBand="0" w:noVBand="1" w:val="04A0"/>
      </w:tblPr>
      <w:tblGrid>
        <w:gridCol w:w="259"/>
        <w:gridCol w:w="9662"/>
      </w:tblGrid>
      <w:tr>
        <w:tc>
          <w:tcPr>
            <w:tcW w:type="dxa" w:w="259"/>
            <w:shd w:fill="6B8E7D"/>
            <w:tcBorders>
              <w:top w:val="nil"/>
              <w:start w:val="nil"/>
              <w:bottom w:val="nil"/>
              <w:end w:val="nil"/>
            </w:tcBorders>
            <w:vAlign w:val="center"/>
            <w:tcMar>
              <w:top w:w="100" w:type="dxa"/>
              <w:start w:w="0" w:type="dxa"/>
              <w:bottom w:w="100" w:type="dxa"/>
              <w:end w:w="0" w:type="dxa"/>
            </w:tcMar>
          </w:tcPr>
          <w:p/>
        </w:tc>
        <w:tc>
          <w:tcPr>
            <w:tcW w:type="dxa" w:w="9662"/>
            <w:shd w:fill="E5EFEA"/>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6B8E7D"/>
                <w:sz w:val="21"/>
              </w:rPr>
              <w:t>Moat test</w:t>
            </w:r>
          </w:p>
          <w:p>
            <w:pPr>
              <w:keepNext w:val="0"/>
              <w:spacing w:before="0" w:after="0" w:line="259" w:lineRule="auto"/>
            </w:pPr>
            <w:r>
              <w:rPr>
                <w:rFonts w:ascii="Inter" w:hAnsi="Inter" w:eastAsia="Inter"/>
                <w:b w:val="0"/>
                <w:color w:val="2B2B2B"/>
                <w:sz w:val="18"/>
              </w:rPr>
              <w:t>The strategic asset is not the photograph. It is the growing, consented history linking context, recommendation, action and response - together with evidence that the next recommendation becomes more relevant for the same person.</w:t>
            </w:r>
          </w:p>
        </w:tc>
      </w:tr>
    </w:tbl>
    <w:p>
      <w:pPr>
        <w:spacing w:after="0"/>
      </w:pPr>
    </w:p>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12</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Technical concept architecture</w:t>
            </w:r>
          </w:p>
          <w:p>
            <w:pPr>
              <w:keepNext w:val="0"/>
              <w:spacing w:before="0" w:after="0" w:line="240" w:lineRule="auto"/>
            </w:pPr>
            <w:r>
              <w:rPr>
                <w:rFonts w:ascii="Inter" w:hAnsi="Inter" w:eastAsia="Inter"/>
                <w:b w:val="0"/>
                <w:color w:val="6E6E6E"/>
                <w:sz w:val="17"/>
              </w:rPr>
              <w:t>The proposed capability fits the existing two React Native apps and Supabase stack. The pilot can remain serverless, with model and nutrition APIs orchestrated from trusted Edge Functions.</w:t>
            </w:r>
          </w:p>
        </w:tc>
      </w:tr>
    </w:tbl>
    <w:p>
      <w:pPr>
        <w:spacing w:after="0"/>
      </w:pPr>
    </w:p>
    <w:tbl>
      <w:tblPr>
        <w:tblW w:type="auto" w:w="0"/>
        <w:jc w:val="center"/>
        <w:tblLayout w:type="fixed"/>
        <w:tblLook w:firstColumn="1" w:firstRow="1" w:lastColumn="0" w:lastRow="0" w:noHBand="0" w:noVBand="1" w:val="04A0"/>
      </w:tblPr>
      <w:tblGrid>
        <w:gridCol w:w="648"/>
        <w:gridCol w:w="1728"/>
        <w:gridCol w:w="1944"/>
        <w:gridCol w:w="5602"/>
      </w:tblGrid>
      <w:tr>
        <w:trPr>
          <w:cantSplit/>
        </w:trPr>
        <w:tc>
          <w:tcPr>
            <w:tcW w:type="dxa" w:w="648"/>
            <w:shd w:fill="EE5C4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center"/>
            </w:pPr>
            <w:r>
              <w:rPr>
                <w:rFonts w:ascii="Inter Display" w:hAnsi="Inter Display" w:eastAsia="Inter Display"/>
                <w:b/>
                <w:color w:val="FFFFFF"/>
                <w:sz w:val="26"/>
              </w:rPr>
              <w:t>1</w:t>
            </w:r>
          </w:p>
        </w:tc>
        <w:tc>
          <w:tcPr>
            <w:tcW w:type="dxa" w:w="1728"/>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Display" w:hAnsi="Inter Display" w:eastAsia="Inter Display"/>
                <w:b/>
                <w:color w:val="231F20"/>
                <w:sz w:val="18"/>
              </w:rPr>
              <w:t>Mobile capture</w:t>
            </w:r>
          </w:p>
        </w:tc>
        <w:tc>
          <w:tcPr>
            <w:tcW w:type="dxa" w:w="1944"/>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color w:val="C94334"/>
                <w:sz w:val="16"/>
              </w:rPr>
              <w:t>React Native / Expo</w:t>
            </w:r>
          </w:p>
        </w:tc>
        <w:tc>
          <w:tcPr>
            <w:tcW w:type="dxa" w:w="5602"/>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val="0"/>
                <w:color w:val="2B2B2B"/>
                <w:sz w:val="15"/>
              </w:rPr>
              <w:t>Take photo, classify meal type, resize to about 1024 px, strip EXIF, upload a private analysis image and retain only a small diary thumbnail by default.</w:t>
            </w:r>
          </w:p>
        </w:tc>
      </w:tr>
      <w:tr>
        <w:trPr>
          <w:cantSplit/>
        </w:trPr>
        <w:tc>
          <w:tcPr>
            <w:tcW w:type="dxa" w:w="648"/>
            <w:shd w:fill="EE5C4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center"/>
            </w:pPr>
            <w:r>
              <w:rPr>
                <w:rFonts w:ascii="Inter Display" w:hAnsi="Inter Display" w:eastAsia="Inter Display"/>
                <w:b/>
                <w:color w:val="FFFFFF"/>
                <w:sz w:val="26"/>
              </w:rPr>
              <w:t>2</w:t>
            </w:r>
          </w:p>
        </w:tc>
        <w:tc>
          <w:tcPr>
            <w:tcW w:type="dxa" w:w="1728"/>
            <w:shd w:fill="F6F4F1"/>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Display" w:hAnsi="Inter Display" w:eastAsia="Inter Display"/>
                <w:b/>
                <w:color w:val="231F20"/>
                <w:sz w:val="18"/>
              </w:rPr>
              <w:t>Secure data plane</w:t>
            </w:r>
          </w:p>
        </w:tc>
        <w:tc>
          <w:tcPr>
            <w:tcW w:type="dxa" w:w="1944"/>
            <w:shd w:fill="F6F4F1"/>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color w:val="C94334"/>
                <w:sz w:val="16"/>
              </w:rPr>
              <w:t>Supabase</w:t>
            </w:r>
          </w:p>
        </w:tc>
        <w:tc>
          <w:tcPr>
            <w:tcW w:type="dxa" w:w="5602"/>
            <w:shd w:fill="F6F4F1"/>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val="0"/>
                <w:color w:val="2B2B2B"/>
                <w:sz w:val="15"/>
              </w:rPr>
              <w:t>Auth, private Storage, Postgres, Row Level Security and Realtime. The two apps share generated database types and the same domain package.</w:t>
            </w:r>
          </w:p>
        </w:tc>
      </w:tr>
      <w:tr>
        <w:trPr>
          <w:cantSplit/>
        </w:trPr>
        <w:tc>
          <w:tcPr>
            <w:tcW w:type="dxa" w:w="648"/>
            <w:shd w:fill="EE5C4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center"/>
            </w:pPr>
            <w:r>
              <w:rPr>
                <w:rFonts w:ascii="Inter Display" w:hAnsi="Inter Display" w:eastAsia="Inter Display"/>
                <w:b/>
                <w:color w:val="FFFFFF"/>
                <w:sz w:val="26"/>
              </w:rPr>
              <w:t>3</w:t>
            </w:r>
          </w:p>
        </w:tc>
        <w:tc>
          <w:tcPr>
            <w:tcW w:type="dxa" w:w="1728"/>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Display" w:hAnsi="Inter Display" w:eastAsia="Inter Display"/>
                <w:b/>
                <w:color w:val="231F20"/>
                <w:sz w:val="18"/>
              </w:rPr>
              <w:t>AI orchestration</w:t>
            </w:r>
          </w:p>
        </w:tc>
        <w:tc>
          <w:tcPr>
            <w:tcW w:type="dxa" w:w="1944"/>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color w:val="C94334"/>
                <w:sz w:val="16"/>
              </w:rPr>
              <w:t>Edge Function + queue</w:t>
            </w:r>
          </w:p>
        </w:tc>
        <w:tc>
          <w:tcPr>
            <w:tcW w:type="dxa" w:w="5602"/>
            <w:shd w:fill="FBE3DE"/>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val="0"/>
                <w:color w:val="2B2B2B"/>
                <w:sz w:val="15"/>
              </w:rPr>
              <w:t>Verify the user, fetch the image, call a vision-capable model with a strict JSON schema, retry low-confidence jobs and never expose API keys in the mobile app.</w:t>
            </w:r>
          </w:p>
        </w:tc>
      </w:tr>
      <w:tr>
        <w:trPr>
          <w:cantSplit/>
        </w:trPr>
        <w:tc>
          <w:tcPr>
            <w:tcW w:type="dxa" w:w="648"/>
            <w:shd w:fill="6B8E7D"/>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center"/>
            </w:pPr>
            <w:r>
              <w:rPr>
                <w:rFonts w:ascii="Inter Display" w:hAnsi="Inter Display" w:eastAsia="Inter Display"/>
                <w:b/>
                <w:color w:val="FFFFFF"/>
                <w:sz w:val="26"/>
              </w:rPr>
              <w:t>4</w:t>
            </w:r>
          </w:p>
        </w:tc>
        <w:tc>
          <w:tcPr>
            <w:tcW w:type="dxa" w:w="1728"/>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Display" w:hAnsi="Inter Display" w:eastAsia="Inter Display"/>
                <w:b/>
                <w:color w:val="231F20"/>
                <w:sz w:val="18"/>
              </w:rPr>
              <w:t>Nutrition normalisation</w:t>
            </w:r>
          </w:p>
        </w:tc>
        <w:tc>
          <w:tcPr>
            <w:tcW w:type="dxa" w:w="1944"/>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color w:val="6B8E7D"/>
                <w:sz w:val="16"/>
              </w:rPr>
              <w:t>Canonical food data</w:t>
            </w:r>
          </w:p>
        </w:tc>
        <w:tc>
          <w:tcPr>
            <w:tcW w:type="dxa" w:w="5602"/>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val="0"/>
                <w:color w:val="2B2B2B"/>
                <w:sz w:val="15"/>
              </w:rPr>
              <w:t>Map detected foods to verified records, then calculate calories and nutrients deterministically from portion estimates rather than trusting model-generated nutrition numbers.</w:t>
            </w:r>
          </w:p>
        </w:tc>
      </w:tr>
      <w:tr>
        <w:trPr>
          <w:cantSplit/>
        </w:trPr>
        <w:tc>
          <w:tcPr>
            <w:tcW w:type="dxa" w:w="648"/>
            <w:shd w:fill="6B8E7D"/>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center"/>
            </w:pPr>
            <w:r>
              <w:rPr>
                <w:rFonts w:ascii="Inter Display" w:hAnsi="Inter Display" w:eastAsia="Inter Display"/>
                <w:b/>
                <w:color w:val="FFFFFF"/>
                <w:sz w:val="26"/>
              </w:rPr>
              <w:t>5</w:t>
            </w:r>
          </w:p>
        </w:tc>
        <w:tc>
          <w:tcPr>
            <w:tcW w:type="dxa" w:w="1728"/>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Display" w:hAnsi="Inter Display" w:eastAsia="Inter Display"/>
                <w:b/>
                <w:color w:val="231F20"/>
                <w:sz w:val="18"/>
              </w:rPr>
              <w:t>Learning and proposals</w:t>
            </w:r>
          </w:p>
        </w:tc>
        <w:tc>
          <w:tcPr>
            <w:tcW w:type="dxa" w:w="1944"/>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color w:val="6B8E7D"/>
                <w:sz w:val="16"/>
              </w:rPr>
              <w:t>SQL + pgvector</w:t>
            </w:r>
          </w:p>
        </w:tc>
        <w:tc>
          <w:tcPr>
            <w:tcW w:type="dxa" w:w="5602"/>
            <w:shd w:fill="E5EFEA"/>
            <w:tcMar>
              <w:top w:w="75" w:type="dxa"/>
              <w:start w:w="75" w:type="dxa"/>
              <w:bottom w:w="75" w:type="dxa"/>
              <w:end w:w="75" w:type="dxa"/>
            </w:tcMar>
            <w:tcBorders>
              <w:top w:val="single" w:sz="3" w:color="D9D6D2"/>
              <w:start w:val="single" w:sz="3" w:color="D9D6D2"/>
              <w:bottom w:val="single" w:sz="3" w:color="D9D6D2"/>
              <w:end w:val="single" w:sz="3" w:color="D9D6D2"/>
            </w:tcBorders>
          </w:tcPr>
          <w:p>
            <w:pPr>
              <w:keepNext w:val="0"/>
              <w:spacing w:before="0" w:after="0" w:line="247" w:lineRule="auto"/>
              <w:jc w:val="left"/>
            </w:pPr>
            <w:r>
              <w:rPr>
                <w:rFonts w:ascii="Inter" w:hAnsi="Inter" w:eastAsia="Inter"/>
                <w:b w:val="0"/>
                <w:color w:val="2B2B2B"/>
                <w:sz w:val="15"/>
              </w:rPr>
              <w:t>Aggregate confirmed meals with cycle, symptoms, sleep and exercise; rank approved expert/community cards; record recommendation, action, adherence and response.</w:t>
            </w:r>
          </w:p>
        </w:tc>
      </w:tr>
    </w:tbl>
    <w:p>
      <w:pPr>
        <w:spacing w:after="0"/>
      </w:pPr>
    </w:p>
    <w:tbl>
      <w:tblPr>
        <w:tblW w:type="auto" w:w="0"/>
        <w:jc w:val="center"/>
        <w:tblLayout w:type="fixed"/>
        <w:tblLook w:firstColumn="1" w:firstRow="1" w:lastColumn="0" w:lastRow="0" w:noHBand="0" w:noVBand="1" w:val="04A0"/>
      </w:tblPr>
      <w:tblGrid>
        <w:gridCol w:w="259"/>
        <w:gridCol w:w="9662"/>
      </w:tblGrid>
      <w:tr>
        <w:tc>
          <w:tcPr>
            <w:tcW w:type="dxa" w:w="259"/>
            <w:shd w:fill="6B8E7D"/>
            <w:tcBorders>
              <w:top w:val="nil"/>
              <w:start w:val="nil"/>
              <w:bottom w:val="nil"/>
              <w:end w:val="nil"/>
            </w:tcBorders>
            <w:vAlign w:val="center"/>
            <w:tcMar>
              <w:top w:w="100" w:type="dxa"/>
              <w:start w:w="0" w:type="dxa"/>
              <w:bottom w:w="100" w:type="dxa"/>
              <w:end w:w="0" w:type="dxa"/>
            </w:tcMar>
          </w:tcPr>
          <w:p/>
        </w:tc>
        <w:tc>
          <w:tcPr>
            <w:tcW w:type="dxa" w:w="9662"/>
            <w:shd w:fill="E5EFEA"/>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6B8E7D"/>
                <w:sz w:val="21"/>
              </w:rPr>
              <w:t>Pilot architecture decision</w:t>
            </w:r>
          </w:p>
          <w:p>
            <w:pPr>
              <w:keepNext w:val="0"/>
              <w:spacing w:before="0" w:after="0" w:line="259" w:lineRule="auto"/>
            </w:pPr>
            <w:r>
              <w:rPr>
                <w:rFonts w:ascii="Inter" w:hAnsi="Inter" w:eastAsia="Inter"/>
                <w:b w:val="0"/>
                <w:color w:val="2B2B2B"/>
                <w:sz w:val="17"/>
              </w:rPr>
              <w:t>Do not introduce a separate Node, Spring Boot or application server merely for meal recognition. Use Supabase Edge Functions as the trusted orchestration layer, keep model keys server-side, and add durable queues only when traffic or retry requirements justify them.</w:t>
            </w:r>
          </w:p>
        </w:tc>
      </w:tr>
    </w:tbl>
    <w:p>
      <w:pPr>
        <w:spacing w:after="0"/>
      </w:pPr>
    </w:p>
    <w:p>
      <w:pPr>
        <w:keepNext/>
        <w:spacing w:before="40" w:after="80" w:line="240" w:lineRule="auto"/>
      </w:pPr>
      <w:r>
        <w:rPr>
          <w:rFonts w:ascii="Inter Display" w:hAnsi="Inter Display" w:eastAsia="Inter Display"/>
          <w:b/>
          <w:color w:val="C94334"/>
          <w:sz w:val="23"/>
        </w:rPr>
        <w:t>Recommended stack</w:t>
      </w:r>
    </w:p>
    <w:tbl>
      <w:tblPr>
        <w:tblW w:type="auto" w:w="0"/>
        <w:jc w:val="center"/>
        <w:tblLayout w:type="fixed"/>
        <w:tblLook w:firstColumn="1" w:firstRow="1" w:lastColumn="0" w:lastRow="0" w:noHBand="0" w:noVBand="1" w:val="04A0"/>
      </w:tblPr>
      <w:tblGrid>
        <w:gridCol w:w="2232"/>
        <w:gridCol w:w="7690"/>
      </w:tblGrid>
      <w:tr>
        <w:tc>
          <w:tcPr>
            <w:tcW w:type="dxa" w:w="4961"/>
            <w:shd w:fill="C94334"/>
            <w:tcMar>
              <w:top w:w="65" w:type="dxa"/>
              <w:start w:w="70" w:type="dxa"/>
              <w:bottom w:w="65" w:type="dxa"/>
              <w:end w:w="70"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FFFFFF"/>
                <w:sz w:val="16"/>
              </w:rPr>
              <w:t>Component</w:t>
            </w:r>
          </w:p>
        </w:tc>
        <w:tc>
          <w:tcPr>
            <w:tcW w:type="dxa" w:w="4961"/>
            <w:shd w:fill="C94334"/>
            <w:tcMar>
              <w:top w:w="65" w:type="dxa"/>
              <w:start w:w="70" w:type="dxa"/>
              <w:bottom w:w="65" w:type="dxa"/>
              <w:end w:w="70"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FFFFFF"/>
                <w:sz w:val="16"/>
              </w:rPr>
              <w:t>Recommended concept</w:t>
            </w:r>
          </w:p>
        </w:tc>
      </w:tr>
      <w:tr>
        <w:trPr>
          <w:cantSplit/>
        </w:trPr>
        <w:tc>
          <w:tcPr>
            <w:tcW w:type="dxa" w:w="2232"/>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Vision model</w:t>
            </w:r>
          </w:p>
        </w:tc>
        <w:tc>
          <w:tcPr>
            <w:tcW w:type="dxa" w:w="7690"/>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GPT-5.6 Luna for routine high-volume image parsing; retry with GPT-5.6 Terra when confidence is low or the meal is complex. Use the Responses API with image input and structured outputs. [T1]</w:t>
            </w:r>
          </w:p>
        </w:tc>
      </w:tr>
      <w:tr>
        <w:trPr>
          <w:cantSplit/>
        </w:trPr>
        <w:tc>
          <w:tcPr>
            <w:tcW w:type="dxa" w:w="2232"/>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Nutrition sources</w:t>
            </w:r>
          </w:p>
        </w:tc>
        <w:tc>
          <w:tcPr>
            <w:tcW w:type="dxa" w:w="7690"/>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USDA FoodData Central for generic foods; Open Food Facts for barcodes and packaged foods; add EuroFIR or national European data where localisation and licensing justify it.</w:t>
            </w:r>
          </w:p>
        </w:tc>
      </w:tr>
      <w:tr>
        <w:trPr>
          <w:cantSplit/>
        </w:trPr>
        <w:tc>
          <w:tcPr>
            <w:tcW w:type="dxa" w:w="2232"/>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Asynchronous work</w:t>
            </w:r>
          </w:p>
        </w:tc>
        <w:tc>
          <w:tcPr>
            <w:tcW w:type="dxa" w:w="7690"/>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Direct Edge Function invocation is sufficient for the pilot. Introduce Supabase Queues / pgmq for retries, back-pressure and reliable processing as volume grows. [T2-T4]</w:t>
            </w:r>
          </w:p>
        </w:tc>
      </w:tr>
      <w:tr>
        <w:trPr>
          <w:cantSplit/>
        </w:trPr>
        <w:tc>
          <w:tcPr>
            <w:tcW w:type="dxa" w:w="2232"/>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Food matching</w:t>
            </w:r>
          </w:p>
        </w:tc>
        <w:tc>
          <w:tcPr>
            <w:tcW w:type="dxa" w:w="7690"/>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Start with aliases and full-text search. Add pgvector for multilingual names, recipe similarity and ranking approved expert/community proposals.</w:t>
            </w:r>
          </w:p>
        </w:tc>
      </w:tr>
      <w:tr>
        <w:trPr>
          <w:cantSplit/>
        </w:trPr>
        <w:tc>
          <w:tcPr>
            <w:tcW w:type="dxa" w:w="2232"/>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Image format</w:t>
            </w:r>
          </w:p>
        </w:tc>
        <w:tc>
          <w:tcPr>
            <w:tcW w:type="dxa" w:w="7690"/>
            <w:shd w:fill="FFFFFF"/>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Use JPEG or WebP for meal photos and 256-384 px diary thumbnails. PNG is unnecessarily large for photographs. Delete the larger analysis image after confirmation unless the user explicitly keeps it.</w:t>
            </w:r>
          </w:p>
        </w:tc>
      </w:tr>
      <w:tr>
        <w:trPr>
          <w:cantSplit/>
        </w:trPr>
        <w:tc>
          <w:tcPr>
            <w:tcW w:type="dxa" w:w="2232"/>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color w:val="231F20"/>
                <w:sz w:val="15"/>
              </w:rPr>
              <w:t>Shared mobile code</w:t>
            </w:r>
          </w:p>
        </w:tc>
        <w:tc>
          <w:tcPr>
            <w:tcW w:type="dxa" w:w="7690"/>
            <w:shd w:fill="F6F4F1"/>
            <w:tcMar>
              <w:top w:w="55" w:type="dxa"/>
              <w:start w:w="65" w:type="dxa"/>
              <w:bottom w:w="55" w:type="dxa"/>
              <w:end w:w="65" w:type="dxa"/>
            </w:tcMar>
            <w:tcBorders>
              <w:top w:val="single" w:sz="3" w:color="D9D6D2"/>
              <w:start w:val="single" w:sz="3" w:color="D9D6D2"/>
              <w:bottom w:val="single" w:sz="3" w:color="D9D6D2"/>
              <w:end w:val="single" w:sz="3" w:color="D9D6D2"/>
            </w:tcBorders>
          </w:tcPr>
          <w:p>
            <w:pPr>
              <w:keepNext w:val="0"/>
              <w:spacing w:before="0" w:after="0" w:line="245" w:lineRule="auto"/>
            </w:pPr>
            <w:r>
              <w:rPr>
                <w:rFonts w:ascii="Inter" w:hAnsi="Inter" w:eastAsia="Inter"/>
                <w:b w:val="0"/>
                <w:color w:val="2B2B2B"/>
                <w:sz w:val="15"/>
              </w:rPr>
              <w:t>Create shared packages for meal capture, nutrition-domain types, Supabase client/types and status subscriptions so both React Native apps use one implementation.</w:t>
            </w:r>
          </w:p>
        </w:tc>
      </w:tr>
    </w:tbl>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12A</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Data model, controls and delivery sequence</w:t>
            </w:r>
          </w:p>
          <w:p>
            <w:pPr>
              <w:keepNext w:val="0"/>
              <w:spacing w:before="0" w:after="0" w:line="240" w:lineRule="auto"/>
            </w:pPr>
            <w:r>
              <w:rPr>
                <w:rFonts w:ascii="Inter" w:hAnsi="Inter" w:eastAsia="Inter"/>
                <w:b w:val="0"/>
                <w:color w:val="6E6E6E"/>
                <w:sz w:val="17"/>
              </w:rPr>
              <w:t>The LLM produces a draft observation. The confirmed, normalised records - with provenance, confidence and corrections - are the durable product data.</w:t>
            </w:r>
          </w:p>
        </w:tc>
      </w:tr>
    </w:tbl>
    <w:p>
      <w:pPr>
        <w:spacing w:after="0"/>
      </w:pPr>
    </w:p>
    <w:p>
      <w:pPr>
        <w:keepNext/>
        <w:spacing w:before="40" w:after="80" w:line="240" w:lineRule="auto"/>
      </w:pPr>
      <w:r>
        <w:rPr>
          <w:rFonts w:ascii="Inter Display" w:hAnsi="Inter Display" w:eastAsia="Inter Display"/>
          <w:b/>
          <w:color w:val="C94334"/>
          <w:sz w:val="22"/>
        </w:rPr>
        <w:t>Minimum domain model</w:t>
      </w:r>
    </w:p>
    <w:tbl>
      <w:tblPr>
        <w:tblW w:type="auto" w:w="0"/>
        <w:jc w:val="center"/>
        <w:tblLayout w:type="fixed"/>
        <w:tblLook w:firstColumn="1" w:firstRow="1" w:lastColumn="0" w:lastRow="0" w:noHBand="0" w:noVBand="1" w:val="04A0"/>
      </w:tblPr>
      <w:tblGrid>
        <w:gridCol w:w="2232"/>
        <w:gridCol w:w="7690"/>
      </w:tblGrid>
      <w:tr>
        <w:tc>
          <w:tcPr>
            <w:tcW w:type="dxa" w:w="4961"/>
            <w:shd w:fill="C94334"/>
            <w:tcMar>
              <w:top w:w="60" w:type="dxa"/>
              <w:start w:w="70" w:type="dxa"/>
              <w:bottom w:w="60" w:type="dxa"/>
              <w:end w:w="70"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FFFFFF"/>
                <w:sz w:val="16"/>
              </w:rPr>
              <w:t>Entity</w:t>
            </w:r>
          </w:p>
        </w:tc>
        <w:tc>
          <w:tcPr>
            <w:tcW w:type="dxa" w:w="4961"/>
            <w:shd w:fill="C94334"/>
            <w:tcMar>
              <w:top w:w="60" w:type="dxa"/>
              <w:start w:w="70" w:type="dxa"/>
              <w:bottom w:w="60" w:type="dxa"/>
              <w:end w:w="70"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FFFFFF"/>
                <w:sz w:val="16"/>
              </w:rPr>
              <w:t>Purpose</w:t>
            </w:r>
          </w:p>
        </w:tc>
      </w:tr>
      <w:tr>
        <w:trPr>
          <w:cantSplit/>
        </w:trPr>
        <w:tc>
          <w:tcPr>
            <w:tcW w:type="dxa" w:w="2232"/>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meal_logs</w:t>
            </w:r>
          </w:p>
        </w:tc>
        <w:tc>
          <w:tcPr>
            <w:tcW w:type="dxa" w:w="7690"/>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One meal event: user, time, meal type, image path, status, cycle snapshot, model/prompt version, confidence and confirmed totals.</w:t>
            </w:r>
          </w:p>
        </w:tc>
      </w:tr>
      <w:tr>
        <w:trPr>
          <w:cantSplit/>
        </w:trPr>
        <w:tc>
          <w:tcPr>
            <w:tcW w:type="dxa" w:w="2232"/>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meal_items</w:t>
            </w:r>
          </w:p>
        </w:tc>
        <w:tc>
          <w:tcPr>
            <w:tcW w:type="dxa" w:w="7690"/>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Detected and user-confirmed foods, portion range, canonical food source, nutrients, food groups and visible/possible ingredients.</w:t>
            </w:r>
          </w:p>
        </w:tc>
      </w:tr>
      <w:tr>
        <w:trPr>
          <w:cantSplit/>
        </w:trPr>
        <w:tc>
          <w:tcPr>
            <w:tcW w:type="dxa" w:w="2232"/>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meal_edits</w:t>
            </w:r>
          </w:p>
        </w:tc>
        <w:tc>
          <w:tcPr>
            <w:tcW w:type="dxa" w:w="7690"/>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Before/after values and reason. This is the labelled correction dataset used to measure and improve recognition quality.</w:t>
            </w:r>
          </w:p>
        </w:tc>
      </w:tr>
      <w:tr>
        <w:trPr>
          <w:cantSplit/>
        </w:trPr>
        <w:tc>
          <w:tcPr>
            <w:tcW w:type="dxa" w:w="2232"/>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canonical_foods</w:t>
            </w:r>
          </w:p>
        </w:tc>
        <w:tc>
          <w:tcPr>
            <w:tcW w:type="dxa" w:w="7690"/>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Verified nutrition per 100 g, aliases, multilingual names, provenance and data-quality status.</w:t>
            </w:r>
          </w:p>
        </w:tc>
      </w:tr>
      <w:tr>
        <w:trPr>
          <w:cantSplit/>
        </w:trPr>
        <w:tc>
          <w:tcPr>
            <w:tcW w:type="dxa" w:w="2232"/>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daily_context</w:t>
            </w:r>
          </w:p>
        </w:tc>
        <w:tc>
          <w:tcPr>
            <w:tcW w:type="dxa" w:w="7690"/>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Cycle phase/day, symptoms, mood, energy, sleep, hunger, hydration and exercise context.</w:t>
            </w:r>
          </w:p>
        </w:tc>
      </w:tr>
      <w:tr>
        <w:trPr>
          <w:cantSplit/>
        </w:trPr>
        <w:tc>
          <w:tcPr>
            <w:tcW w:type="dxa" w:w="2232"/>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recommendation_cards</w:t>
            </w:r>
          </w:p>
        </w:tc>
        <w:tc>
          <w:tcPr>
            <w:tcW w:type="dxa" w:w="7690"/>
            <w:shd w:fill="F6F4F1"/>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Expert- or community-authored proposals with credentials, evidence/rationale, constraints, allergens, moderation and review date.</w:t>
            </w:r>
          </w:p>
        </w:tc>
      </w:tr>
      <w:tr>
        <w:trPr>
          <w:cantSplit/>
        </w:trPr>
        <w:tc>
          <w:tcPr>
            <w:tcW w:type="dxa" w:w="2232"/>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color w:val="231F20"/>
                <w:sz w:val="14"/>
              </w:rPr>
              <w:t>recommendation_events</w:t>
            </w:r>
          </w:p>
        </w:tc>
        <w:tc>
          <w:tcPr>
            <w:tcW w:type="dxa" w:w="7690"/>
            <w:shd w:fill="FFFFFF"/>
            <w:tcMar>
              <w:top w:w="48" w:type="dxa"/>
              <w:start w:w="65" w:type="dxa"/>
              <w:bottom w:w="48" w:type="dxa"/>
              <w:end w:w="65" w:type="dxa"/>
            </w:tcMar>
            <w:tcBorders>
              <w:top w:val="single" w:sz="3" w:color="D9D6D2"/>
              <w:start w:val="single" w:sz="3" w:color="D9D6D2"/>
              <w:bottom w:val="single" w:sz="3" w:color="D9D6D2"/>
              <w:end w:val="single" w:sz="3" w:color="D9D6D2"/>
            </w:tcBorders>
          </w:tcPr>
          <w:p>
            <w:pPr>
              <w:keepNext w:val="0"/>
              <w:spacing w:before="0" w:after="0" w:line="240" w:lineRule="auto"/>
            </w:pPr>
            <w:r>
              <w:rPr>
                <w:rFonts w:ascii="Inter" w:hAnsi="Inter" w:eastAsia="Inter"/>
                <w:b w:val="0"/>
                <w:color w:val="2B2B2B"/>
                <w:sz w:val="14"/>
              </w:rPr>
              <w:t>Recommended, viewed, accepted, prepared/eaten, dismissed, rated and subsequent response - the core learning sequence.</w:t>
            </w:r>
          </w:p>
        </w:tc>
      </w:tr>
    </w:tbl>
    <w:p>
      <w:pPr>
        <w:keepNext/>
        <w:spacing w:before="40" w:after="80" w:line="240" w:lineRule="auto"/>
      </w:pPr>
      <w:r>
        <w:rPr>
          <w:rFonts w:ascii="Inter Display" w:hAnsi="Inter Display" w:eastAsia="Inter Display"/>
          <w:b/>
          <w:color w:val="C94334"/>
          <w:sz w:val="22"/>
        </w:rPr>
        <w:t>Five delivery increments</w:t>
      </w:r>
    </w:p>
    <w:tbl>
      <w:tblPr>
        <w:tblW w:type="auto" w:w="0"/>
        <w:jc w:val="center"/>
        <w:tblLayout w:type="fixed"/>
        <w:tblLook w:firstColumn="1" w:firstRow="1" w:lastColumn="0" w:lastRow="0" w:noHBand="0" w:noVBand="1" w:val="04A0"/>
      </w:tblPr>
      <w:tblGrid>
        <w:gridCol w:w="605"/>
        <w:gridCol w:w="1944"/>
        <w:gridCol w:w="5256"/>
        <w:gridCol w:w="2117"/>
      </w:tblGrid>
      <w:tr>
        <w:tc>
          <w:tcPr>
            <w:tcW w:type="dxa" w:w="605"/>
            <w:shd w:fill="C94334"/>
            <w:tcMar>
              <w:top w:w="55" w:type="dxa"/>
              <w:start w:w="55" w:type="dxa"/>
              <w:bottom w:w="55"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FFFFFF"/>
                <w:sz w:val="14"/>
              </w:rPr>
              <w:t>#</w:t>
            </w:r>
          </w:p>
        </w:tc>
        <w:tc>
          <w:tcPr>
            <w:tcW w:type="dxa" w:w="1944"/>
            <w:shd w:fill="C94334"/>
            <w:tcMar>
              <w:top w:w="55" w:type="dxa"/>
              <w:start w:w="55" w:type="dxa"/>
              <w:bottom w:w="55"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FFFFFF"/>
                <w:sz w:val="14"/>
              </w:rPr>
              <w:t>Increment</w:t>
            </w:r>
          </w:p>
        </w:tc>
        <w:tc>
          <w:tcPr>
            <w:tcW w:type="dxa" w:w="5256"/>
            <w:shd w:fill="C94334"/>
            <w:tcMar>
              <w:top w:w="55" w:type="dxa"/>
              <w:start w:w="55" w:type="dxa"/>
              <w:bottom w:w="55"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FFFFFF"/>
                <w:sz w:val="14"/>
              </w:rPr>
              <w:t>Capability delivered</w:t>
            </w:r>
          </w:p>
        </w:tc>
        <w:tc>
          <w:tcPr>
            <w:tcW w:type="dxa" w:w="2117"/>
            <w:shd w:fill="C94334"/>
            <w:tcMar>
              <w:top w:w="55" w:type="dxa"/>
              <w:start w:w="55" w:type="dxa"/>
              <w:bottom w:w="55"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FFFFFF"/>
                <w:sz w:val="14"/>
              </w:rPr>
              <w:t>Pilot exit criterion</w:t>
            </w:r>
          </w:p>
        </w:tc>
      </w:tr>
      <w:tr>
        <w:trPr>
          <w:cantSplit/>
        </w:trPr>
        <w:tc>
          <w:tcPr>
            <w:tcW w:type="dxa" w:w="605"/>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31F20"/>
                <w:sz w:val="14"/>
              </w:rPr>
              <w:t>1</w:t>
            </w:r>
          </w:p>
        </w:tc>
        <w:tc>
          <w:tcPr>
            <w:tcW w:type="dxa" w:w="1944"/>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Capture and confirm</w:t>
            </w:r>
          </w:p>
        </w:tc>
        <w:tc>
          <w:tcPr>
            <w:tcW w:type="dxa" w:w="5256"/>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Photo -&gt; AI draft -&gt; one- or two-tap correction -&gt; structured meal saved.</w:t>
            </w:r>
          </w:p>
        </w:tc>
        <w:tc>
          <w:tcPr>
            <w:tcW w:type="dxa" w:w="2117"/>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Median completion time; analysis success; correction rate.</w:t>
            </w:r>
          </w:p>
        </w:tc>
      </w:tr>
      <w:tr>
        <w:trPr>
          <w:cantSplit/>
        </w:trPr>
        <w:tc>
          <w:tcPr>
            <w:tcW w:type="dxa" w:w="605"/>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31F20"/>
                <w:sz w:val="14"/>
              </w:rPr>
              <w:t>2</w:t>
            </w:r>
          </w:p>
        </w:tc>
        <w:tc>
          <w:tcPr>
            <w:tcW w:type="dxa" w:w="1944"/>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Canonical nutrition</w:t>
            </w:r>
          </w:p>
        </w:tc>
        <w:tc>
          <w:tcPr>
            <w:tcW w:type="dxa" w:w="5256"/>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Resolve foods and portions to trusted data; calculate macros and food groups deterministically.</w:t>
            </w:r>
          </w:p>
        </w:tc>
        <w:tc>
          <w:tcPr>
            <w:tcW w:type="dxa" w:w="2117"/>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Match confidence; nutrient provenance; user-confirmed accuracy.</w:t>
            </w:r>
          </w:p>
        </w:tc>
      </w:tr>
      <w:tr>
        <w:trPr>
          <w:cantSplit/>
        </w:trPr>
        <w:tc>
          <w:tcPr>
            <w:tcW w:type="dxa" w:w="605"/>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31F20"/>
                <w:sz w:val="14"/>
              </w:rPr>
              <w:t>3</w:t>
            </w:r>
          </w:p>
        </w:tc>
        <w:tc>
          <w:tcPr>
            <w:tcW w:type="dxa" w:w="1944"/>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Pattern engine</w:t>
            </w:r>
          </w:p>
        </w:tc>
        <w:tc>
          <w:tcPr>
            <w:tcW w:type="dxa" w:w="5256"/>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Weekly and cycle-level SQL aggregates across meals, exercise, symptoms, energy and sleep.</w:t>
            </w:r>
          </w:p>
        </w:tc>
        <w:tc>
          <w:tcPr>
            <w:tcW w:type="dxa" w:w="2117"/>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Data completeness; useful pattern rate; false-positive review.</w:t>
            </w:r>
          </w:p>
        </w:tc>
      </w:tr>
      <w:tr>
        <w:trPr>
          <w:cantSplit/>
        </w:trPr>
        <w:tc>
          <w:tcPr>
            <w:tcW w:type="dxa" w:w="605"/>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31F20"/>
                <w:sz w:val="14"/>
              </w:rPr>
              <w:t>4</w:t>
            </w:r>
          </w:p>
        </w:tc>
        <w:tc>
          <w:tcPr>
            <w:tcW w:type="dxa" w:w="1944"/>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Expert proposals</w:t>
            </w:r>
          </w:p>
        </w:tc>
        <w:tc>
          <w:tcPr>
            <w:tcW w:type="dxa" w:w="5256"/>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Rank approved nutritionist cards against constraints, preferences and personal context.</w:t>
            </w:r>
          </w:p>
        </w:tc>
        <w:tc>
          <w:tcPr>
            <w:tcW w:type="dxa" w:w="2117"/>
            <w:shd w:fill="F6F4F1"/>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View, accept, complete and relevance rates.</w:t>
            </w:r>
          </w:p>
        </w:tc>
      </w:tr>
      <w:tr>
        <w:trPr>
          <w:cantSplit/>
        </w:trPr>
        <w:tc>
          <w:tcPr>
            <w:tcW w:type="dxa" w:w="605"/>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center"/>
            </w:pPr>
            <w:r>
              <w:rPr>
                <w:rFonts w:ascii="Inter" w:hAnsi="Inter" w:eastAsia="Inter"/>
                <w:b/>
                <w:color w:val="231F20"/>
                <w:sz w:val="14"/>
              </w:rPr>
              <w:t>5</w:t>
            </w:r>
          </w:p>
        </w:tc>
        <w:tc>
          <w:tcPr>
            <w:tcW w:type="dxa" w:w="1944"/>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color w:val="231F20"/>
                <w:sz w:val="14"/>
              </w:rPr>
              <w:t>Community + learning</w:t>
            </w:r>
          </w:p>
        </w:tc>
        <w:tc>
          <w:tcPr>
            <w:tcW w:type="dxa" w:w="5256"/>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Moderated community alternatives and the recommendation-action-response recalibration loop.</w:t>
            </w:r>
          </w:p>
        </w:tc>
        <w:tc>
          <w:tcPr>
            <w:tcW w:type="dxa" w:w="2117"/>
            <w:shd w:fill="FFFFFF"/>
            <w:tcMar>
              <w:top w:w="48" w:type="dxa"/>
              <w:start w:w="55" w:type="dxa"/>
              <w:bottom w:w="48" w:type="dxa"/>
              <w:end w:w="55" w:type="dxa"/>
            </w:tcMar>
            <w:tcBorders>
              <w:top w:val="single" w:sz="3" w:color="D9D6D2"/>
              <w:start w:val="single" w:sz="3" w:color="D9D6D2"/>
              <w:bottom w:val="single" w:sz="3" w:color="D9D6D2"/>
              <w:end w:val="single" w:sz="3" w:color="D9D6D2"/>
            </w:tcBorders>
          </w:tcPr>
          <w:p>
            <w:pPr>
              <w:keepNext w:val="0"/>
              <w:spacing w:before="0" w:after="0" w:line="240" w:lineRule="auto"/>
              <w:jc w:val="left"/>
            </w:pPr>
            <w:r>
              <w:rPr>
                <w:rFonts w:ascii="Inter" w:hAnsi="Inter" w:eastAsia="Inter"/>
                <w:b w:val="0"/>
                <w:color w:val="2B2B2B"/>
                <w:sz w:val="14"/>
              </w:rPr>
              <w:t>Repeat-cycle relevance lift; safety exceptions; moderator SLA.</w:t>
            </w:r>
          </w:p>
        </w:tc>
      </w:tr>
    </w:tbl>
    <w:tbl>
      <w:tblPr>
        <w:tblW w:type="auto" w:w="0"/>
        <w:jc w:val="center"/>
        <w:tblLayout w:type="fixed"/>
        <w:tblLook w:firstColumn="1" w:firstRow="1" w:lastColumn="0" w:lastRow="0" w:noHBand="0" w:noVBand="1" w:val="04A0"/>
      </w:tblPr>
      <w:tblGrid>
        <w:gridCol w:w="259"/>
        <w:gridCol w:w="9662"/>
      </w:tblGrid>
      <w:tr>
        <w:tc>
          <w:tcPr>
            <w:tcW w:type="dxa" w:w="259"/>
            <w:shd w:fill="C94334"/>
            <w:tcBorders>
              <w:top w:val="nil"/>
              <w:start w:val="nil"/>
              <w:bottom w:val="nil"/>
              <w:end w:val="nil"/>
            </w:tcBorders>
            <w:vAlign w:val="center"/>
            <w:tcMar>
              <w:top w:w="100" w:type="dxa"/>
              <w:start w:w="0" w:type="dxa"/>
              <w:bottom w:w="100" w:type="dxa"/>
              <w:end w:w="0" w:type="dxa"/>
            </w:tcMar>
          </w:tcPr>
          <w:p/>
        </w:tc>
        <w:tc>
          <w:tcPr>
            <w:tcW w:type="dxa" w:w="9662"/>
            <w:shd w:fill="FBE3DE"/>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C94334"/>
                <w:sz w:val="21"/>
              </w:rPr>
              <w:t>Governance non-negotiables</w:t>
            </w:r>
          </w:p>
          <w:p>
            <w:pPr>
              <w:keepNext w:val="0"/>
              <w:spacing w:before="0" w:after="0" w:line="259" w:lineRule="auto"/>
            </w:pPr>
            <w:r>
              <w:rPr>
                <w:rFonts w:ascii="Inter" w:hAnsi="Inter" w:eastAsia="Inter"/>
                <w:b w:val="0"/>
                <w:color w:val="2B2B2B"/>
                <w:sz w:val="17"/>
              </w:rPr>
              <w:t>Private storage and Row Level Security; explicit consent; no EXIF/location retention; confidence and portion ranges; one-tap correction; nutrition provenance; separate nutrients and food groups; expert credential review; community moderation; medical escalation kept outside wellbeing personalisation.</w:t>
            </w:r>
          </w:p>
        </w:tc>
      </w:tr>
    </w:tbl>
    <w:p>
      <w:pPr>
        <w:spacing w:after="0"/>
      </w:pPr>
    </w:p>
    <w:p>
      <w:r>
        <w:br w:type="page"/>
      </w:r>
    </w:p>
    <w:tbl>
      <w:tblPr>
        <w:tblW w:type="auto" w:w="0"/>
        <w:jc w:val="center"/>
        <w:tblLayout w:type="fixed"/>
        <w:tblLook w:firstColumn="1" w:firstRow="1" w:lastColumn="0" w:lastRow="0" w:noHBand="0" w:noVBand="1" w:val="04A0"/>
      </w:tblPr>
      <w:tblGrid>
        <w:gridCol w:w="1123"/>
        <w:gridCol w:w="8798"/>
      </w:tblGrid>
      <w:tr>
        <w:tc>
          <w:tcPr>
            <w:tcW w:type="dxa" w:w="1123"/>
            <w:shd w:fill="EE5C4A"/>
            <w:tcMar>
              <w:top w:w="120" w:type="dxa"/>
              <w:start w:w="120" w:type="dxa"/>
              <w:bottom w:w="120" w:type="dxa"/>
              <w:end w:w="120" w:type="dxa"/>
            </w:tcMar>
            <w:tcBorders>
              <w:top w:val="nil"/>
              <w:start w:val="nil"/>
              <w:bottom w:val="nil"/>
              <w:end w:val="nil"/>
            </w:tcBorders>
            <w:vAlign w:val="center"/>
          </w:tcPr>
          <w:p>
            <w:pPr>
              <w:keepNext w:val="0"/>
              <w:spacing w:before="0" w:after="0" w:line="240" w:lineRule="auto"/>
              <w:jc w:val="center"/>
            </w:pPr>
            <w:r>
              <w:rPr>
                <w:rFonts w:ascii="Inter Display" w:hAnsi="Inter Display" w:eastAsia="Inter Display"/>
                <w:b/>
                <w:color w:val="FFFFFF"/>
                <w:sz w:val="36"/>
              </w:rPr>
              <w:t>13</w:t>
            </w:r>
          </w:p>
        </w:tc>
        <w:tc>
          <w:tcPr>
            <w:tcW w:type="dxa" w:w="8798"/>
            <w:shd w:fill="F6F4F1"/>
            <w:tcMar>
              <w:top w:w="120" w:type="dxa"/>
              <w:start w:w="120" w:type="dxa"/>
              <w:bottom w:w="120" w:type="dxa"/>
              <w:end w:w="120" w:type="dxa"/>
            </w:tcMar>
            <w:tcBorders>
              <w:top w:val="nil"/>
              <w:start w:val="nil"/>
              <w:bottom w:val="nil"/>
              <w:end w:val="nil"/>
            </w:tcBorders>
            <w:vAlign w:val="center"/>
          </w:tcPr>
          <w:p>
            <w:pPr>
              <w:keepNext/>
              <w:spacing w:before="0" w:after="0" w:line="240" w:lineRule="auto"/>
            </w:pPr>
            <w:r>
              <w:rPr>
                <w:rFonts w:ascii="Inter Display" w:hAnsi="Inter Display" w:eastAsia="Inter Display"/>
                <w:b/>
                <w:color w:val="231F20"/>
                <w:sz w:val="28"/>
              </w:rPr>
              <w:t>Updated sources and immediate decisions</w:t>
            </w:r>
          </w:p>
          <w:p>
            <w:pPr>
              <w:keepNext w:val="0"/>
              <w:spacing w:before="0" w:after="0" w:line="240" w:lineRule="auto"/>
            </w:pPr>
            <w:r>
              <w:rPr>
                <w:rFonts w:ascii="Inter" w:hAnsi="Inter" w:eastAsia="Inter"/>
                <w:b w:val="0"/>
                <w:color w:val="6E6E6E"/>
                <w:sz w:val="17"/>
              </w:rPr>
              <w:t>Official product and platform materials supporting the Version 1.1 correction, plus the actions required to keep NutriSync positioning credible.</w:t>
            </w:r>
          </w:p>
        </w:tc>
      </w:tr>
    </w:tbl>
    <w:p>
      <w:pPr>
        <w:spacing w:after="0"/>
      </w:pPr>
    </w:p>
    <w:tbl>
      <w:tblPr>
        <w:tblW w:type="auto" w:w="0"/>
        <w:jc w:val="center"/>
        <w:tblLayout w:type="fixed"/>
        <w:tblLook w:firstColumn="1" w:firstRow="1" w:lastColumn="0" w:lastRow="0" w:noHBand="0" w:noVBand="1" w:val="04A0"/>
      </w:tblPr>
      <w:tblGrid>
        <w:gridCol w:w="4968"/>
        <w:gridCol w:w="4954"/>
      </w:tblGrid>
      <w:tr>
        <w:tc>
          <w:tcPr>
            <w:tcW w:type="dxa" w:w="4961"/>
            <w:shd w:fill="F6F4F1"/>
            <w:tcMar>
              <w:top w:w="130" w:type="dxa"/>
              <w:start w:w="140" w:type="dxa"/>
              <w:bottom w:w="120" w:type="dxa"/>
              <w:end w:w="140" w:type="dxa"/>
            </w:tcMar>
            <w:tcBorders>
              <w:top w:val="single" w:sz="6" w:color="D9D6D2"/>
              <w:start w:val="single" w:sz="6" w:color="D9D6D2"/>
              <w:bottom w:val="single" w:sz="6" w:color="D9D6D2"/>
              <w:end w:val="single" w:sz="6" w:color="D9D6D2"/>
            </w:tcBorders>
          </w:tcPr>
          <w:p>
            <w:pPr>
              <w:keepNext/>
              <w:spacing w:before="0" w:after="80" w:line="240" w:lineRule="auto"/>
            </w:pPr>
            <w:r>
              <w:rPr>
                <w:rFonts w:ascii="Inter Display" w:hAnsi="Inter Display" w:eastAsia="Inter Display"/>
                <w:b/>
                <w:color w:val="231F20"/>
                <w:sz w:val="23"/>
              </w:rPr>
              <w:t>Updated official sources</w:t>
            </w:r>
          </w:p>
          <w:p>
            <w:pPr>
              <w:keepNext w:val="0"/>
              <w:spacing w:before="0" w:after="60" w:line="240" w:lineRule="auto"/>
            </w:pPr>
            <w:r>
              <w:rPr>
                <w:rFonts w:ascii="Inter" w:hAnsi="Inter" w:eastAsia="Inter"/>
                <w:b/>
                <w:color w:val="C94334"/>
                <w:sz w:val="15"/>
              </w:rPr>
              <w:t xml:space="preserve">U1  </w:t>
            </w:r>
            <w:r>
              <w:rPr>
                <w:rFonts w:ascii="Inter" w:hAnsi="Inter" w:eastAsia="Inter"/>
                <w:b w:val="0"/>
                <w:color w:val="2B2B2B"/>
                <w:sz w:val="14"/>
              </w:rPr>
              <w:t>28: AI Period Tracker &amp; Health - Apple App Store; July 2026 version history and current product description. apps.apple.com/nz/app/28-ai-period-tracker-health/id6443715544</w:t>
            </w:r>
          </w:p>
          <w:p>
            <w:pPr>
              <w:keepNext w:val="0"/>
              <w:spacing w:before="0" w:after="60" w:line="240" w:lineRule="auto"/>
            </w:pPr>
            <w:r>
              <w:rPr>
                <w:rFonts w:ascii="Inter" w:hAnsi="Inter" w:eastAsia="Inter"/>
                <w:b/>
                <w:color w:val="C94334"/>
                <w:sz w:val="15"/>
              </w:rPr>
              <w:t xml:space="preserve">U2  </w:t>
            </w:r>
            <w:r>
              <w:rPr>
                <w:rFonts w:ascii="Inter" w:hAnsi="Inter" w:eastAsia="Inter"/>
                <w:b w:val="0"/>
                <w:color w:val="2B2B2B"/>
                <w:sz w:val="14"/>
              </w:rPr>
              <w:t>Aluna - Meal &amp; Cycle Tracking - Apple App Store; current product description and version history. apps.apple.com/gb/app/aluna-meal-cycle-tracking/id6765998708</w:t>
            </w:r>
          </w:p>
          <w:p>
            <w:pPr>
              <w:keepNext w:val="0"/>
              <w:spacing w:before="0" w:after="60" w:line="240" w:lineRule="auto"/>
            </w:pPr>
            <w:r>
              <w:rPr>
                <w:rFonts w:ascii="Inter" w:hAnsi="Inter" w:eastAsia="Inter"/>
                <w:b/>
                <w:color w:val="C94334"/>
                <w:sz w:val="15"/>
              </w:rPr>
              <w:t xml:space="preserve">U3  </w:t>
            </w:r>
            <w:r>
              <w:rPr>
                <w:rFonts w:ascii="Inter" w:hAnsi="Inter" w:eastAsia="Inter"/>
                <w:b w:val="0"/>
                <w:color w:val="2B2B2B"/>
                <w:sz w:val="14"/>
              </w:rPr>
              <w:t>SnapCalorie AI Calorie Counter - Apple App Store; photo/voice meal logging, macros and visual food timeline. apps.apple.com/nz/app/snapcalorie-ai-calorie-counter/id1574239307</w:t>
            </w:r>
          </w:p>
          <w:p>
            <w:pPr>
              <w:keepNext w:val="0"/>
              <w:spacing w:before="0" w:after="60" w:line="240" w:lineRule="auto"/>
            </w:pPr>
            <w:r>
              <w:rPr>
                <w:rFonts w:ascii="Inter" w:hAnsi="Inter" w:eastAsia="Inter"/>
                <w:b/>
                <w:color w:val="C94334"/>
                <w:sz w:val="15"/>
              </w:rPr>
              <w:t xml:space="preserve">U4  </w:t>
            </w:r>
            <w:r>
              <w:rPr>
                <w:rFonts w:ascii="Inter" w:hAnsi="Inter" w:eastAsia="Inter"/>
                <w:b w:val="0"/>
                <w:color w:val="2B2B2B"/>
                <w:sz w:val="14"/>
              </w:rPr>
              <w:t>Cronometer - Apple App Store; photo/voice logging, nutrient database, wearable and sleep integrations. apps.apple.com/au/app/cronometer-calorie-counter/id1145935738</w:t>
            </w:r>
          </w:p>
          <w:p>
            <w:pPr>
              <w:keepNext w:val="0"/>
              <w:spacing w:before="0" w:after="60" w:line="240" w:lineRule="auto"/>
            </w:pPr>
            <w:r>
              <w:rPr>
                <w:rFonts w:ascii="Inter" w:hAnsi="Inter" w:eastAsia="Inter"/>
                <w:b/>
                <w:color w:val="C94334"/>
                <w:sz w:val="15"/>
              </w:rPr>
              <w:t xml:space="preserve">U5  </w:t>
            </w:r>
            <w:r>
              <w:rPr>
                <w:rFonts w:ascii="Inter" w:hAnsi="Inter" w:eastAsia="Inter"/>
                <w:b w:val="0"/>
                <w:color w:val="2B2B2B"/>
                <w:sz w:val="14"/>
              </w:rPr>
              <w:t>Lifesum - Apple App Store; photo meal tracking, macros and tracker integrations. apps.apple.com/am/app/lifesum-ai-calorie-tracker/id286906691</w:t>
            </w:r>
          </w:p>
          <w:p>
            <w:pPr>
              <w:keepNext w:val="0"/>
              <w:spacing w:before="0" w:after="60" w:line="240" w:lineRule="auto"/>
            </w:pPr>
            <w:r>
              <w:rPr>
                <w:rFonts w:ascii="Inter" w:hAnsi="Inter" w:eastAsia="Inter"/>
                <w:b/>
                <w:color w:val="C94334"/>
                <w:sz w:val="15"/>
              </w:rPr>
              <w:t xml:space="preserve">T1  </w:t>
            </w:r>
            <w:r>
              <w:rPr>
                <w:rFonts w:ascii="Inter" w:hAnsi="Inter" w:eastAsia="Inter"/>
                <w:b w:val="0"/>
                <w:color w:val="2B2B2B"/>
                <w:sz w:val="14"/>
              </w:rPr>
              <w:t>OpenAI Models - current vision-capable models and structured output support. developers.openai.com/api/docs/models</w:t>
            </w:r>
          </w:p>
          <w:p>
            <w:pPr>
              <w:keepNext w:val="0"/>
              <w:spacing w:before="0" w:after="60" w:line="240" w:lineRule="auto"/>
            </w:pPr>
            <w:r>
              <w:rPr>
                <w:rFonts w:ascii="Inter" w:hAnsi="Inter" w:eastAsia="Inter"/>
                <w:b/>
                <w:color w:val="C94334"/>
                <w:sz w:val="15"/>
              </w:rPr>
              <w:t xml:space="preserve">T2  </w:t>
            </w:r>
            <w:r>
              <w:rPr>
                <w:rFonts w:ascii="Inter" w:hAnsi="Inter" w:eastAsia="Inter"/>
                <w:b w:val="0"/>
                <w:color w:val="2B2B2B"/>
                <w:sz w:val="14"/>
              </w:rPr>
              <w:t>Supabase Docs - Auth, Postgres, Storage, Realtime, Edge Functions, Queues and AI/vector capabilities. supabase.com/docs</w:t>
            </w:r>
          </w:p>
          <w:p>
            <w:pPr>
              <w:keepNext w:val="0"/>
              <w:spacing w:before="0" w:after="60" w:line="240" w:lineRule="auto"/>
            </w:pPr>
            <w:r>
              <w:rPr>
                <w:rFonts w:ascii="Inter" w:hAnsi="Inter" w:eastAsia="Inter"/>
                <w:b/>
                <w:color w:val="C94334"/>
                <w:sz w:val="15"/>
              </w:rPr>
              <w:t xml:space="preserve">T3  </w:t>
            </w:r>
            <w:r>
              <w:rPr>
                <w:rFonts w:ascii="Inter" w:hAnsi="Inter" w:eastAsia="Inter"/>
                <w:b w:val="0"/>
                <w:color w:val="2B2B2B"/>
                <w:sz w:val="14"/>
              </w:rPr>
              <w:t>Supabase JavaScript Storage upload - React Native ArrayBuffer guidance. supabase.com/docs/reference/javascript/v1/storage-from-upload</w:t>
            </w:r>
          </w:p>
          <w:p>
            <w:pPr>
              <w:keepNext w:val="0"/>
              <w:spacing w:before="0" w:after="60" w:line="240" w:lineRule="auto"/>
            </w:pPr>
            <w:r>
              <w:rPr>
                <w:rFonts w:ascii="Inter" w:hAnsi="Inter" w:eastAsia="Inter"/>
                <w:b/>
                <w:color w:val="C94334"/>
                <w:sz w:val="15"/>
              </w:rPr>
              <w:t xml:space="preserve">T4  </w:t>
            </w:r>
            <w:r>
              <w:rPr>
                <w:rFonts w:ascii="Inter" w:hAnsi="Inter" w:eastAsia="Inter"/>
                <w:b w:val="0"/>
                <w:color w:val="2B2B2B"/>
                <w:sz w:val="14"/>
              </w:rPr>
              <w:t>Supabase Automatic Embeddings - Edge Functions, pgmq, pg_net, pg_cron and pgvector architecture. supabase.com/docs/guides/ai/automatic-embeddings</w:t>
            </w:r>
          </w:p>
          <w:p>
            <w:pPr>
              <w:keepNext w:val="0"/>
              <w:spacing w:before="0" w:after="60" w:line="240" w:lineRule="auto"/>
            </w:pPr>
            <w:r>
              <w:rPr>
                <w:rFonts w:ascii="Inter" w:hAnsi="Inter" w:eastAsia="Inter"/>
                <w:b/>
                <w:color w:val="C94334"/>
                <w:sz w:val="15"/>
              </w:rPr>
              <w:t xml:space="preserve">T5  </w:t>
            </w:r>
            <w:r>
              <w:rPr>
                <w:rFonts w:ascii="Inter" w:hAnsi="Inter" w:eastAsia="Inter"/>
                <w:b w:val="0"/>
                <w:color w:val="2B2B2B"/>
                <w:sz w:val="14"/>
              </w:rPr>
              <w:t>USDA FoodData Central API and Open Food Facts data/API documentation for nutrition normalisation and packaged-food lookup.</w:t>
            </w:r>
          </w:p>
        </w:tc>
        <w:tc>
          <w:tcPr>
            <w:tcW w:type="dxa" w:w="4961"/>
            <w:shd w:fill="F6F4F1"/>
            <w:tcMar>
              <w:top w:w="130" w:type="dxa"/>
              <w:start w:w="140" w:type="dxa"/>
              <w:bottom w:w="120" w:type="dxa"/>
              <w:end w:w="140" w:type="dxa"/>
            </w:tcMar>
            <w:tcBorders>
              <w:top w:val="single" w:sz="6" w:color="D9D6D2"/>
              <w:start w:val="single" w:sz="6" w:color="D9D6D2"/>
              <w:bottom w:val="single" w:sz="6" w:color="D9D6D2"/>
              <w:end w:val="single" w:sz="6" w:color="D9D6D2"/>
            </w:tcBorders>
          </w:tcPr>
          <w:p>
            <w:pPr>
              <w:keepNext/>
              <w:spacing w:before="0" w:after="80" w:line="240" w:lineRule="auto"/>
            </w:pPr>
            <w:r>
              <w:rPr>
                <w:rFonts w:ascii="Inter Display" w:hAnsi="Inter Display" w:eastAsia="Inter Display"/>
                <w:b/>
                <w:color w:val="231F20"/>
                <w:sz w:val="23"/>
              </w:rPr>
              <w:t>Immediate decisions</w:t>
            </w:r>
          </w:p>
          <w:p>
            <w:pPr>
              <w:pStyle w:val="ListBullet"/>
              <w:keepNext w:val="0"/>
              <w:spacing w:before="0" w:after="80" w:line="247" w:lineRule="auto"/>
              <w:ind w:left="259" w:hanging="173"/>
            </w:pPr>
            <w:r>
              <w:rPr>
                <w:rFonts w:ascii="Inter" w:hAnsi="Inter" w:eastAsia="Inter"/>
                <w:b w:val="0"/>
                <w:color w:val="2B2B2B"/>
                <w:sz w:val="15"/>
              </w:rPr>
              <w:t>Add Aluna to the direct competitor watchlist and refresh 28 quarterly; product releases can change the matrix faster than annual strategy reviews.</w:t>
            </w:r>
          </w:p>
          <w:p>
            <w:pPr>
              <w:pStyle w:val="ListBullet"/>
              <w:keepNext w:val="0"/>
              <w:spacing w:before="0" w:after="80" w:line="247" w:lineRule="auto"/>
              <w:ind w:left="259" w:hanging="173"/>
            </w:pPr>
            <w:r>
              <w:rPr>
                <w:rFonts w:ascii="Inter" w:hAnsi="Inter" w:eastAsia="Inter"/>
                <w:b w:val="0"/>
                <w:color w:val="2B2B2B"/>
                <w:sz w:val="15"/>
              </w:rPr>
              <w:t>Treat photo-to-macros as a friction-reduction feature, not a uniqueness claim. Adjacent nutrition apps already make it common. [U3-U5]</w:t>
            </w:r>
          </w:p>
          <w:p>
            <w:pPr>
              <w:pStyle w:val="ListBullet"/>
              <w:keepNext w:val="0"/>
              <w:spacing w:before="0" w:after="80" w:line="247" w:lineRule="auto"/>
              <w:ind w:left="259" w:hanging="173"/>
            </w:pPr>
            <w:r>
              <w:rPr>
                <w:rFonts w:ascii="Inter" w:hAnsi="Inter" w:eastAsia="Inter"/>
                <w:b w:val="0"/>
                <w:color w:val="2B2B2B"/>
                <w:sz w:val="15"/>
              </w:rPr>
              <w:t>Prioritise the structured event model - recommendation, action, adherence and response - because that is the foundation of the segment-of-one learning thesis.</w:t>
            </w:r>
          </w:p>
          <w:p>
            <w:pPr>
              <w:pStyle w:val="ListBullet"/>
              <w:keepNext w:val="0"/>
              <w:spacing w:before="0" w:after="80" w:line="247" w:lineRule="auto"/>
              <w:ind w:left="259" w:hanging="173"/>
            </w:pPr>
            <w:r>
              <w:rPr>
                <w:rFonts w:ascii="Inter" w:hAnsi="Inter" w:eastAsia="Inter"/>
                <w:b w:val="0"/>
                <w:color w:val="2B2B2B"/>
                <w:sz w:val="15"/>
              </w:rPr>
              <w:t>Separate nutrients from food groups in the data model; retain the raw model response for audit but use normalised records for analytics.</w:t>
            </w:r>
          </w:p>
          <w:p>
            <w:pPr>
              <w:pStyle w:val="ListBullet"/>
              <w:keepNext w:val="0"/>
              <w:spacing w:before="0" w:after="80" w:line="247" w:lineRule="auto"/>
              <w:ind w:left="259" w:hanging="173"/>
            </w:pPr>
            <w:r>
              <w:rPr>
                <w:rFonts w:ascii="Inter" w:hAnsi="Inter" w:eastAsia="Inter"/>
                <w:b w:val="0"/>
                <w:color w:val="2B2B2B"/>
                <w:sz w:val="15"/>
              </w:rPr>
              <w:t>Launch expert proposals before open community proposals. Credentialing, moderation and safety boundaries should exist before network effects are pursued.</w:t>
            </w:r>
          </w:p>
          <w:p>
            <w:pPr>
              <w:pStyle w:val="ListBullet"/>
              <w:keepNext w:val="0"/>
              <w:spacing w:before="0" w:after="80" w:line="247" w:lineRule="auto"/>
              <w:ind w:left="259" w:hanging="173"/>
            </w:pPr>
            <w:r>
              <w:rPr>
                <w:rFonts w:ascii="Inter" w:hAnsi="Inter" w:eastAsia="Inter"/>
                <w:b w:val="0"/>
                <w:color w:val="2B2B2B"/>
                <w:sz w:val="15"/>
              </w:rPr>
              <w:t>Measure correction rate, recognition confidence, pattern usefulness and recommendation relevance lift; do not use calorie accuracy alone as the success measure.</w:t>
            </w:r>
          </w:p>
        </w:tc>
      </w:tr>
    </w:tbl>
    <w:p>
      <w:pPr>
        <w:spacing w:after="0"/>
      </w:pPr>
    </w:p>
    <w:tbl>
      <w:tblPr>
        <w:tblW w:type="auto" w:w="0"/>
        <w:jc w:val="center"/>
        <w:tblLayout w:type="fixed"/>
        <w:tblLook w:firstColumn="1" w:firstRow="1" w:lastColumn="0" w:lastRow="0" w:noHBand="0" w:noVBand="1" w:val="04A0"/>
      </w:tblPr>
      <w:tblGrid>
        <w:gridCol w:w="259"/>
        <w:gridCol w:w="9662"/>
      </w:tblGrid>
      <w:tr>
        <w:tc>
          <w:tcPr>
            <w:tcW w:type="dxa" w:w="259"/>
            <w:shd w:fill="C94334"/>
            <w:tcBorders>
              <w:top w:val="nil"/>
              <w:start w:val="nil"/>
              <w:bottom w:val="nil"/>
              <w:end w:val="nil"/>
            </w:tcBorders>
            <w:vAlign w:val="center"/>
            <w:tcMar>
              <w:top w:w="100" w:type="dxa"/>
              <w:start w:w="0" w:type="dxa"/>
              <w:bottom w:w="100" w:type="dxa"/>
              <w:end w:w="0" w:type="dxa"/>
            </w:tcMar>
          </w:tcPr>
          <w:p/>
        </w:tc>
        <w:tc>
          <w:tcPr>
            <w:tcW w:type="dxa" w:w="9662"/>
            <w:shd w:fill="FBE3DE"/>
            <w:tcBorders>
              <w:top w:val="nil"/>
              <w:start w:val="nil"/>
              <w:bottom w:val="nil"/>
              <w:end w:val="nil"/>
            </w:tcBorders>
            <w:vAlign w:val="center"/>
            <w:tcMar>
              <w:top w:w="100" w:type="dxa"/>
              <w:start w:w="120" w:type="dxa"/>
              <w:bottom w:w="100" w:type="dxa"/>
              <w:end w:w="120" w:type="dxa"/>
            </w:tcMar>
          </w:tcPr>
          <w:p>
            <w:pPr>
              <w:keepNext/>
              <w:spacing w:before="0" w:after="40" w:line="240" w:lineRule="auto"/>
            </w:pPr>
            <w:r>
              <w:rPr>
                <w:rFonts w:ascii="Inter Display" w:hAnsi="Inter Display" w:eastAsia="Inter Display"/>
                <w:b/>
                <w:color w:val="C94334"/>
                <w:sz w:val="21"/>
              </w:rPr>
              <w:t>Revised investor positioning</w:t>
            </w:r>
          </w:p>
          <w:p>
            <w:pPr>
              <w:keepNext w:val="0"/>
              <w:spacing w:before="0" w:after="0" w:line="259" w:lineRule="auto"/>
            </w:pPr>
            <w:r>
              <w:rPr>
                <w:rFonts w:ascii="Inter" w:hAnsi="Inter" w:eastAsia="Inter"/>
                <w:b w:val="0"/>
                <w:color w:val="2B2B2B"/>
                <w:sz w:val="18"/>
              </w:rPr>
              <w:t>Competitors can increasingly recognise what is on the plate. NutriSync is designed to learn which nutrition and movement patterns appear to work better for each individual across cycles, then use governed expert and community knowledge to recommend the next practical action.</w:t>
            </w:r>
          </w:p>
        </w:tc>
      </w:tr>
    </w:tbl>
    <w:p>
      <w:pPr>
        <w:spacing w:after="0"/>
      </w:pPr>
    </w:p>
    <w:sectPr w:rsidR="00FC693F" w:rsidRPr="0006063C" w:rsidSect="00034616">
      <w:headerReference w:type="default" r:id="rId17"/>
      <w:footerReference w:type="default" r:id="rId18"/>
      <w:pgSz w:w="11906" w:h="16838"/>
      <w:pgMar w:top="935" w:right="992" w:bottom="879" w:left="992"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 w:lineRule="auto"/>
    </w:pPr>
  </w:p>
  <w:tbl>
    <w:tblPr>
      <w:tblW w:type="auto" w:w="0"/>
      <w:jc w:val="center"/>
      <w:tblLook w:firstColumn="1" w:firstRow="1" w:lastColumn="0" w:lastRow="0" w:noHBand="0" w:noVBand="1" w:val="04A0"/>
    </w:tblPr>
    <w:tblGrid>
      <w:gridCol w:w="3307"/>
      <w:gridCol w:w="3307"/>
      <w:gridCol w:w="3307"/>
    </w:tblGrid>
    <w:tr>
      <w:tc>
        <w:tcPr>
          <w:tcW w:type="dxa" w:w="3969"/>
          <w:tcMar>
            <w:top w:w="0" w:type="dxa"/>
            <w:start w:w="0" w:type="dxa"/>
            <w:bottom w:w="0" w:type="dxa"/>
            <w:end w:w="0" w:type="dxa"/>
          </w:tcMar>
          <w:tcBorders>
            <w:top w:val="nil"/>
            <w:start w:val="nil"/>
            <w:bottom w:val="nil"/>
            <w:end w:val="nil"/>
          </w:tcBorders>
        </w:tcPr>
        <w:p>
          <w:pPr>
            <w:jc w:val="left"/>
          </w:pPr>
          <w:r>
            <w:rPr>
              <w:rFonts w:ascii="Inter" w:hAnsi="Inter" w:eastAsia="Inter"/>
              <w:b w:val="0"/>
              <w:color w:val="6E6E6E"/>
              <w:sz w:val="15"/>
            </w:rPr>
            <w:t>Version 1.1  |  9 August 2026</w:t>
          </w:r>
        </w:p>
      </w:tc>
      <w:tc>
        <w:tcPr>
          <w:tcW w:type="dxa" w:w="3969"/>
          <w:tcMar>
            <w:top w:w="0" w:type="dxa"/>
            <w:start w:w="0" w:type="dxa"/>
            <w:bottom w:w="0" w:type="dxa"/>
            <w:end w:w="0" w:type="dxa"/>
          </w:tcMar>
          <w:tcBorders>
            <w:top w:val="nil"/>
            <w:start w:val="nil"/>
            <w:bottom w:val="nil"/>
            <w:end w:val="nil"/>
          </w:tcBorders>
        </w:tcPr>
        <w:p>
          <w:pPr>
            <w:jc w:val="center"/>
          </w:pPr>
          <w:r>
            <w:rPr>
              <w:rFonts w:ascii="Inter" w:hAnsi="Inter" w:eastAsia="Inter"/>
              <w:color w:val="6E6E6E"/>
              <w:sz w:val="15"/>
            </w:rPr>
            <w:t>Confidential - NutriSync Collective</w:t>
          </w:r>
        </w:p>
      </w:tc>
      <w:tc>
        <w:tcPr>
          <w:tcW w:type="dxa" w:w="1134"/>
          <w:tcMar>
            <w:top w:w="0" w:type="dxa"/>
            <w:start w:w="0" w:type="dxa"/>
            <w:bottom w:w="0" w:type="dxa"/>
            <w:end w:w="0" w:type="dxa"/>
          </w:tcMar>
          <w:tcBorders>
            <w:top w:val="nil"/>
            <w:start w:val="nil"/>
            <w:bottom w:val="nil"/>
            <w:end w:val="nil"/>
          </w:tcBorders>
        </w:tcPr>
        <w:p>
          <w:pPr>
            <w:jc w:val="right"/>
          </w:pPr>
          <w:r>
            <w:rPr>
              <w:rFonts w:ascii="Inter" w:hAnsi="Inter" w:eastAsia="Inter"/>
              <w:color w:val="6E6E6E"/>
              <w:sz w:val="16"/>
            </w:rPr>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 w:lineRule="auto"/>
    </w:pPr>
  </w:p>
  <w:tbl>
    <w:tblPr>
      <w:tblW w:type="auto" w:w="0"/>
      <w:jc w:val="center"/>
      <w:tblLook w:firstColumn="1" w:firstRow="1" w:lastColumn="0" w:lastRow="0" w:noHBand="0" w:noVBand="1" w:val="04A0"/>
    </w:tblPr>
    <w:tblGrid>
      <w:gridCol w:w="3307"/>
      <w:gridCol w:w="3307"/>
      <w:gridCol w:w="3307"/>
    </w:tblGrid>
    <w:tr>
      <w:tc>
        <w:tcPr>
          <w:tcW w:type="dxa" w:w="3969"/>
          <w:tcMar>
            <w:top w:w="0" w:type="dxa"/>
            <w:start w:w="0" w:type="dxa"/>
            <w:bottom w:w="0" w:type="dxa"/>
            <w:end w:w="0" w:type="dxa"/>
          </w:tcMar>
          <w:tcBorders>
            <w:top w:val="nil"/>
            <w:start w:val="nil"/>
            <w:bottom w:val="nil"/>
            <w:end w:val="nil"/>
          </w:tcBorders>
        </w:tcPr>
        <w:p>
          <w:pPr>
            <w:jc w:val="left"/>
          </w:pPr>
          <w:r>
            <w:rPr>
              <w:rFonts w:ascii="Inter" w:hAnsi="Inter" w:eastAsia="Inter"/>
              <w:b w:val="0"/>
              <w:color w:val="6E6E6E"/>
              <w:sz w:val="15"/>
            </w:rPr>
            <w:t>Version 1.1  |  9 August 2026</w:t>
          </w:r>
        </w:p>
      </w:tc>
      <w:tc>
        <w:tcPr>
          <w:tcW w:type="dxa" w:w="3969"/>
          <w:tcMar>
            <w:top w:w="0" w:type="dxa"/>
            <w:start w:w="0" w:type="dxa"/>
            <w:bottom w:w="0" w:type="dxa"/>
            <w:end w:w="0" w:type="dxa"/>
          </w:tcMar>
          <w:tcBorders>
            <w:top w:val="nil"/>
            <w:start w:val="nil"/>
            <w:bottom w:val="nil"/>
            <w:end w:val="nil"/>
          </w:tcBorders>
        </w:tcPr>
        <w:p>
          <w:pPr>
            <w:jc w:val="center"/>
          </w:pPr>
          <w:r>
            <w:rPr>
              <w:rFonts w:ascii="Inter" w:hAnsi="Inter" w:eastAsia="Inter"/>
              <w:color w:val="6E6E6E"/>
              <w:sz w:val="15"/>
            </w:rPr>
            <w:t>Confidential - NutriSync Collective</w:t>
          </w:r>
        </w:p>
      </w:tc>
      <w:tc>
        <w:tcPr>
          <w:tcW w:type="dxa" w:w="1134"/>
          <w:tcMar>
            <w:top w:w="0" w:type="dxa"/>
            <w:start w:w="0" w:type="dxa"/>
            <w:bottom w:w="0" w:type="dxa"/>
            <w:end w:w="0" w:type="dxa"/>
          </w:tcMar>
          <w:tcBorders>
            <w:top w:val="nil"/>
            <w:start w:val="nil"/>
            <w:bottom w:val="nil"/>
            <w:end w:val="nil"/>
          </w:tcBorders>
        </w:tcPr>
        <w:p>
          <w:pPr>
            <w:jc w:val="right"/>
          </w:pPr>
          <w:r>
            <w:rPr>
              <w:rFonts w:ascii="Inter" w:hAnsi="Inter" w:eastAsia="Inter"/>
              <w:color w:val="6E6E6E"/>
              <w:sz w:val="16"/>
            </w:rPr>
            <w:fldChar w:fldCharType="begin"/>
            <w:instrText xml:space="preserve"> PAGE </w:instrText>
            <w:fldChar w:fldCharType="end"/>
          </w:r>
        </w:p>
      </w:tc>
    </w:tr>
  </w:tbl>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 w:lineRule="auto"/>
    </w:pPr>
  </w:p>
  <w:tbl>
    <w:tblPr>
      <w:tblW w:type="auto" w:w="0"/>
      <w:jc w:val="center"/>
      <w:tblLook w:firstColumn="1" w:firstRow="1" w:lastColumn="0" w:lastRow="0" w:noHBand="0" w:noVBand="1" w:val="04A0"/>
    </w:tblPr>
    <w:tblGrid>
      <w:gridCol w:w="5140"/>
      <w:gridCol w:w="5140"/>
      <w:gridCol w:w="5140"/>
    </w:tblGrid>
    <w:tr>
      <w:tc>
        <w:tcPr>
          <w:tcW w:type="dxa" w:w="6520"/>
          <w:tcMar>
            <w:top w:w="0" w:type="dxa"/>
            <w:start w:w="0" w:type="dxa"/>
            <w:bottom w:w="0" w:type="dxa"/>
            <w:end w:w="0" w:type="dxa"/>
          </w:tcMar>
          <w:tcBorders>
            <w:top w:val="nil"/>
            <w:start w:val="nil"/>
            <w:bottom w:val="nil"/>
            <w:end w:val="nil"/>
          </w:tcBorders>
        </w:tcPr>
        <w:p>
          <w:pPr>
            <w:jc w:val="left"/>
          </w:pPr>
          <w:r>
            <w:rPr>
              <w:rFonts w:ascii="Inter" w:hAnsi="Inter" w:eastAsia="Inter"/>
              <w:b w:val="0"/>
              <w:color w:val="6E6E6E"/>
              <w:sz w:val="15"/>
            </w:rPr>
            <w:t>Version 1.1  |  9 August 2026</w:t>
          </w:r>
        </w:p>
      </w:tc>
      <w:tc>
        <w:tcPr>
          <w:tcW w:type="dxa" w:w="6520"/>
          <w:tcMar>
            <w:top w:w="0" w:type="dxa"/>
            <w:start w:w="0" w:type="dxa"/>
            <w:bottom w:w="0" w:type="dxa"/>
            <w:end w:w="0" w:type="dxa"/>
          </w:tcMar>
          <w:tcBorders>
            <w:top w:val="nil"/>
            <w:start w:val="nil"/>
            <w:bottom w:val="nil"/>
            <w:end w:val="nil"/>
          </w:tcBorders>
        </w:tcPr>
        <w:p>
          <w:pPr>
            <w:jc w:val="center"/>
          </w:pPr>
          <w:r>
            <w:rPr>
              <w:rFonts w:ascii="Inter" w:hAnsi="Inter" w:eastAsia="Inter"/>
              <w:color w:val="6E6E6E"/>
              <w:sz w:val="15"/>
            </w:rPr>
            <w:t>Confidential - NutriSync Collective</w:t>
          </w:r>
        </w:p>
      </w:tc>
      <w:tc>
        <w:tcPr>
          <w:tcW w:type="dxa" w:w="1134"/>
          <w:tcMar>
            <w:top w:w="0" w:type="dxa"/>
            <w:start w:w="0" w:type="dxa"/>
            <w:bottom w:w="0" w:type="dxa"/>
            <w:end w:w="0" w:type="dxa"/>
          </w:tcMar>
          <w:tcBorders>
            <w:top w:val="nil"/>
            <w:start w:val="nil"/>
            <w:bottom w:val="nil"/>
            <w:end w:val="nil"/>
          </w:tcBorders>
        </w:tcPr>
        <w:p>
          <w:pPr>
            <w:jc w:val="right"/>
          </w:pPr>
          <w:r>
            <w:rPr>
              <w:rFonts w:ascii="Inter" w:hAnsi="Inter" w:eastAsia="Inter"/>
              <w:color w:val="6E6E6E"/>
              <w:sz w:val="16"/>
            </w:rPr>
            <w:fldChar w:fldCharType="begin"/>
            <w:instrText xml:space="preserve"> PAGE </w:instrText>
            <w:fldChar w:fldCharType="end"/>
          </w:r>
        </w:p>
      </w:tc>
    </w:tr>
  </w:tbl>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 w:lineRule="auto"/>
    </w:pPr>
  </w:p>
  <w:tbl>
    <w:tblPr>
      <w:tblW w:type="auto" w:w="0"/>
      <w:jc w:val="center"/>
      <w:tblLook w:firstColumn="1" w:firstRow="1" w:lastColumn="0" w:lastRow="0" w:noHBand="0" w:noVBand="1" w:val="04A0"/>
    </w:tblPr>
    <w:tblGrid>
      <w:gridCol w:w="3307"/>
      <w:gridCol w:w="3307"/>
      <w:gridCol w:w="3307"/>
    </w:tblGrid>
    <w:tr>
      <w:tc>
        <w:tcPr>
          <w:tcW w:type="dxa" w:w="3969"/>
          <w:tcMar>
            <w:top w:w="0" w:type="dxa"/>
            <w:start w:w="0" w:type="dxa"/>
            <w:bottom w:w="0" w:type="dxa"/>
            <w:end w:w="0" w:type="dxa"/>
          </w:tcMar>
          <w:tcBorders>
            <w:top w:val="nil"/>
            <w:start w:val="nil"/>
            <w:bottom w:val="nil"/>
            <w:end w:val="nil"/>
          </w:tcBorders>
        </w:tcPr>
        <w:p>
          <w:pPr>
            <w:jc w:val="left"/>
          </w:pPr>
          <w:r>
            <w:rPr>
              <w:rFonts w:ascii="Inter" w:hAnsi="Inter" w:eastAsia="Inter"/>
              <w:b w:val="0"/>
              <w:color w:val="6E6E6E"/>
              <w:sz w:val="15"/>
            </w:rPr>
            <w:t>Version 1.1  |  9 August 2026</w:t>
          </w:r>
        </w:p>
      </w:tc>
      <w:tc>
        <w:tcPr>
          <w:tcW w:type="dxa" w:w="3969"/>
          <w:tcMar>
            <w:top w:w="0" w:type="dxa"/>
            <w:start w:w="0" w:type="dxa"/>
            <w:bottom w:w="0" w:type="dxa"/>
            <w:end w:w="0" w:type="dxa"/>
          </w:tcMar>
          <w:tcBorders>
            <w:top w:val="nil"/>
            <w:start w:val="nil"/>
            <w:bottom w:val="nil"/>
            <w:end w:val="nil"/>
          </w:tcBorders>
        </w:tcPr>
        <w:p>
          <w:pPr>
            <w:jc w:val="center"/>
          </w:pPr>
          <w:r>
            <w:rPr>
              <w:rFonts w:ascii="Inter" w:hAnsi="Inter" w:eastAsia="Inter"/>
              <w:color w:val="6E6E6E"/>
              <w:sz w:val="15"/>
            </w:rPr>
            <w:t>Confidential - NutriSync Collective</w:t>
          </w:r>
        </w:p>
      </w:tc>
      <w:tc>
        <w:tcPr>
          <w:tcW w:type="dxa" w:w="1134"/>
          <w:tcMar>
            <w:top w:w="0" w:type="dxa"/>
            <w:start w:w="0" w:type="dxa"/>
            <w:bottom w:w="0" w:type="dxa"/>
            <w:end w:w="0" w:type="dxa"/>
          </w:tcMar>
          <w:tcBorders>
            <w:top w:val="nil"/>
            <w:start w:val="nil"/>
            <w:bottom w:val="nil"/>
            <w:end w:val="nil"/>
          </w:tcBorders>
        </w:tcPr>
        <w:p>
          <w:pPr>
            <w:jc w:val="right"/>
          </w:pPr>
          <w:r>
            <w:rPr>
              <w:rFonts w:ascii="Inter" w:hAnsi="Inter" w:eastAsia="Inter"/>
              <w:color w:val="6E6E6E"/>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2" w:color="E9E7E4"/>
      </w:pBdr>
    </w:pPr>
    <w:r>
      <w:rPr>
        <w:rFonts w:ascii="Inter Display" w:hAnsi="Inter Display" w:eastAsia="Inter Display"/>
        <w:b/>
        <w:color w:val="C94334"/>
        <w:sz w:val="15"/>
      </w:rPr>
      <w:t>NUTRISYNC  /  COMPETITIVE LANDSCAPE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2" w:color="E9E7E4"/>
      </w:pBdr>
    </w:pPr>
    <w:r>
      <w:rPr>
        <w:rFonts w:ascii="Inter Display" w:hAnsi="Inter Display" w:eastAsia="Inter Display"/>
        <w:b/>
        <w:color w:val="C94334"/>
        <w:sz w:val="15"/>
      </w:rPr>
      <w:t>NUTRISYNC  /  COMPETITIVE LANDSCAPE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5" w:space="2" w:color="E9E7E4"/>
      </w:pBdr>
    </w:pPr>
    <w:r>
      <w:rPr>
        <w:rFonts w:ascii="Inter Display" w:hAnsi="Inter Display" w:eastAsia="Inter Display"/>
        <w:b/>
        <w:color w:val="C94334"/>
        <w:sz w:val="15"/>
      </w:rPr>
      <w:t>NUTRISYNC  /  COMPETITIVE LANDSCAPE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Inter" w:hAnsi="Inte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180" w:after="100"/>
      <w:outlineLvl w:val="0"/>
    </w:pPr>
    <w:rPr>
      <w:rFonts w:asciiTheme="majorHAnsi" w:eastAsiaTheme="majorEastAsia" w:hAnsiTheme="majorHAnsi" w:cstheme="majorBidi" w:ascii="Inter Display" w:hAnsi="Inter Display"/>
      <w:b/>
      <w:bCs/>
      <w:color w:val="231F20"/>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Inter Display" w:hAnsi="Inter Display"/>
      <w:b/>
      <w:bCs/>
      <w:color w:val="C94334"/>
      <w:sz w:val="27"/>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Inter Display" w:hAnsi="Inter Display"/>
      <w:b/>
      <w:bCs/>
      <w:color w:val="231F2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Inter Display" w:hAnsi="Inter Display"/>
      <w:b/>
      <w:color w:val="231F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80" w:after="100"/>
    </w:pPr>
    <w:rPr>
      <w:rFonts w:asciiTheme="majorHAnsi" w:eastAsiaTheme="majorEastAsia" w:hAnsiTheme="majorHAnsi" w:cstheme="majorBidi" w:ascii="Inter" w:hAnsi="Inter"/>
      <w:b w:val="0"/>
      <w:i/>
      <w:iCs/>
      <w:color w:val="6E6E6E"/>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Inter" w:hAnsi="Inter"/>
      <w:color w:val="2B2B2B"/>
      <w:sz w:val="19"/>
    </w:rPr>
  </w:style>
  <w:style w:type="paragraph" w:styleId="ListBullet2">
    <w:name w:val="List Bullet 2"/>
    <w:basedOn w:val="Normal"/>
    <w:uiPriority w:val="99"/>
    <w:unhideWhenUsed/>
    <w:rsid w:val="00326F90"/>
    <w:pPr>
      <w:numPr>
        <w:numId w:val="2"/>
      </w:numPr>
      <w:contextualSpacing/>
    </w:pPr>
    <w:rPr>
      <w:rFonts w:ascii="Inter" w:hAnsi="Inter"/>
      <w:color w:val="2B2B2B"/>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Inter" w:hAnsi="Inter"/>
      <w:color w:val="2B2B2B"/>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line="247" w:lineRule="auto"/>
    </w:pPr>
    <w:rPr>
      <w:rFonts w:ascii="Inter" w:hAnsi="Inter"/>
      <w:color w:val="6E6E6E"/>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2.png"/><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image" Target="media/image3.png"/><Relationship Id="rId20" Type="http://schemas.openxmlformats.org/officeDocument/2006/relationships/hyperlink" Target="https://flo.health/" TargetMode="External"/><Relationship Id="rId21" Type="http://schemas.openxmlformats.org/officeDocument/2006/relationships/hyperlink" Target="https://med.flo.health/" TargetMode="External"/><Relationship Id="rId22" Type="http://schemas.openxmlformats.org/officeDocument/2006/relationships/hyperlink" Target="https://flo.health/privacy-policy" TargetMode="External"/><Relationship Id="rId23" Type="http://schemas.openxmlformats.org/officeDocument/2006/relationships/hyperlink" Target="https://helloclue.com/" TargetMode="External"/><Relationship Id="rId24" Type="http://schemas.openxmlformats.org/officeDocument/2006/relationships/hyperlink" Target="https://helloclue.com/landing/wearables" TargetMode="External"/><Relationship Id="rId25" Type="http://schemas.openxmlformats.org/officeDocument/2006/relationships/hyperlink" Target="https://www.oviahealth.com/" TargetMode="External"/><Relationship Id="rId26" Type="http://schemas.openxmlformats.org/officeDocument/2006/relationships/hyperlink" Target="https://www.oviahealth.com/employer-family-benefits/" TargetMode="External"/><Relationship Id="rId27" Type="http://schemas.openxmlformats.org/officeDocument/2006/relationships/hyperlink" Target="https://www.oviahealth.com/join/" TargetMode="External"/><Relationship Id="rId28" Type="http://schemas.openxmlformats.org/officeDocument/2006/relationships/hyperlink" Target="https://www.naturalcycles.com/" TargetMode="External"/><Relationship Id="rId29" Type="http://schemas.openxmlformats.org/officeDocument/2006/relationships/hyperlink" Target="https://www.naturalcycles.com/how-does-natural-cycles-work" TargetMode="External"/><Relationship Id="rId30" Type="http://schemas.openxmlformats.org/officeDocument/2006/relationships/hyperlink" Target="https://floliving.com/pages/official-cycle-syncing-app-myflo" TargetMode="External"/><Relationship Id="rId31" Type="http://schemas.openxmlformats.org/officeDocument/2006/relationships/hyperlink" Target="https://floliving.com/" TargetMode="External"/><Relationship Id="rId32" Type="http://schemas.openxmlformats.org/officeDocument/2006/relationships/hyperlink" Target="https://28.co/" TargetMode="External"/><Relationship Id="rId33" Type="http://schemas.openxmlformats.org/officeDocument/2006/relationships/hyperlink" Target="https://livelycycle.com/" TargetMode="External"/><Relationship Id="rId34" Type="http://schemas.openxmlformats.org/officeDocument/2006/relationships/hyperlink" Target="https://livelycycle.com/privacy-hub" TargetMode="External"/><Relationship Id="rId35" Type="http://schemas.openxmlformats.org/officeDocument/2006/relationships/hyperlink" Target="https://www.wild.ai/" TargetMode="External"/><Relationship Id="rId36" Type="http://schemas.openxmlformats.org/officeDocument/2006/relationships/hyperlink" Target="https://www.wild.ai/privacy-policy" TargetMode="External"/><Relationship Id="rId37" Type="http://schemas.openxmlformats.org/officeDocument/2006/relationships/hyperlink" Target="https://www.fitrwoman.com/product/mobile-app" TargetMode="External"/><Relationship Id="rId38" Type="http://schemas.openxmlformats.org/officeDocument/2006/relationships/hyperlink" Target="https://www.fitrwoman.com/product/coach-platform" TargetMode="External"/><Relationship Id="rId39" Type="http://schemas.openxmlformats.org/officeDocument/2006/relationships/hyperlink" Target="https://www.hormona.io/" TargetMode="External"/><Relationship Id="rId40" Type="http://schemas.openxmlformats.org/officeDocument/2006/relationships/hyperlink" Target="https://www.hormona.io/products/perimenopause-test" TargetMode="External"/><Relationship Id="rId41" Type="http://schemas.openxmlformats.org/officeDocument/2006/relationships/hyperlink" Target="https://www.ftc.gov/legal-library/browse/cases-proceedings/192-3133-flo-health-inc" TargetMode="External"/><Relationship Id="rId42" Type="http://schemas.openxmlformats.org/officeDocument/2006/relationships/hyperlink" Target="https://moodymonth.com/" TargetMode="External"/><Relationship Id="rId43" Type="http://schemas.openxmlformats.org/officeDocument/2006/relationships/hyperlink" Target="https://moodymonth.com/app" TargetMode="External"/><Relationship Id="rId44" Type="http://schemas.openxmlformats.org/officeDocument/2006/relationships/hyperlink" Target="https://www.eative.com/" TargetMode="External"/><Relationship Id="rId45" Type="http://schemas.openxmlformats.org/officeDocument/2006/relationships/hyperlink" Target="https://www.nature.com/articles/s41746-019-0152-7" TargetMode="External"/><Relationship Id="rId46" Type="http://schemas.openxmlformats.org/officeDocument/2006/relationships/hyperlink" Target="https://pubmed.ncbi.nlm.nih.gov/32661839/" TargetMode="External"/><Relationship Id="rId47" Type="http://schemas.openxmlformats.org/officeDocument/2006/relationships/hyperlink" Target="https://health.ec.europa.eu/latest-updates/update-mdcg-2019-11-rev1-qualification-and-classification-software-regulation-eu-2017745-and-2025-06-17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NutriSync Competitive Landscape and Capability Analysis</dc:title>
  <dc:subject>Competitor reconstruction, capability benchmarking, positioning and evidence roadmap</dc:subject>
  <dc:creator>NutriSync Collective</dc:creator>
  <cp:keywords>NutriSync, FemTech, menstrual health, cycle syncing, competitor analysis, AI personalisation</cp:keywords>
  <dc:description>Working strategic report prepared 8 August 2026.</dc:description>
  <cp:lastModifiedBy/>
  <cp:revision>1</cp:revision>
  <dcterms:created xsi:type="dcterms:W3CDTF">2013-12-23T23:15:00Z</dcterms:created>
  <dcterms:modified xsi:type="dcterms:W3CDTF">2013-12-23T23:15:00Z</dcterms:modified>
  <cp:category/>
</cp:coreProperties>
</file>